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D5B0" w14:textId="77777777" w:rsidR="005130C3" w:rsidRPr="00A50E7C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4"/>
          <w:szCs w:val="24"/>
        </w:rPr>
      </w:pPr>
      <w:r w:rsidRPr="00A50E7C">
        <w:rPr>
          <w:rFonts w:asciiTheme="minorHAnsi" w:hAnsiTheme="minorHAnsi" w:cstheme="minorHAnsi"/>
          <w:bCs/>
          <w:smallCaps w:val="0"/>
          <w:sz w:val="24"/>
          <w:szCs w:val="24"/>
        </w:rPr>
        <w:t>GENERAL PROCUREMENT NOTICE</w:t>
      </w:r>
    </w:p>
    <w:p w14:paraId="67EEA6D6" w14:textId="77777777" w:rsidR="005130C3" w:rsidRPr="00A50E7C" w:rsidRDefault="005130C3">
      <w:pPr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49836125" w14:textId="71C65BB0" w:rsidR="005F40FB" w:rsidRPr="00A50E7C" w:rsidRDefault="00B829E4" w:rsidP="00A50E7C">
      <w:pPr>
        <w:suppressAutoHyphens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>Republic of Iraq</w:t>
      </w:r>
    </w:p>
    <w:p w14:paraId="50329684" w14:textId="5DD94886" w:rsidR="005F40FB" w:rsidRPr="00A50E7C" w:rsidRDefault="00B829E4" w:rsidP="00A50E7C">
      <w:pPr>
        <w:suppressAutoHyphens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Reconstruction </w:t>
      </w:r>
      <w:r w:rsidR="00A50E7C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A50E7C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f </w:t>
      </w:r>
      <w:proofErr w:type="spellStart"/>
      <w:r w:rsidRPr="00A50E7C">
        <w:rPr>
          <w:rFonts w:asciiTheme="minorHAnsi" w:hAnsiTheme="minorHAnsi" w:cstheme="minorHAnsi"/>
          <w:spacing w:val="-2"/>
          <w:sz w:val="24"/>
          <w:szCs w:val="24"/>
        </w:rPr>
        <w:t>Hawija</w:t>
      </w:r>
      <w:proofErr w:type="spellEnd"/>
      <w:r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Technical Institute Project</w:t>
      </w:r>
    </w:p>
    <w:p w14:paraId="3FC52A22" w14:textId="1F8BC4E3" w:rsidR="005F40FB" w:rsidRPr="00A50E7C" w:rsidRDefault="00B829E4" w:rsidP="00A50E7C">
      <w:pPr>
        <w:suppressAutoHyphens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>Higher Education/TVET Sub-Sector</w:t>
      </w:r>
    </w:p>
    <w:p w14:paraId="09EE2E93" w14:textId="6DE07D9A" w:rsidR="005F40FB" w:rsidRPr="00A50E7C" w:rsidRDefault="00B829E4" w:rsidP="00A50E7C">
      <w:pPr>
        <w:suppressAutoHyphens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>General Procurement Notice</w:t>
      </w:r>
    </w:p>
    <w:p w14:paraId="117D772D" w14:textId="1D98ADA3" w:rsidR="005F40FB" w:rsidRPr="00A50E7C" w:rsidRDefault="005F40FB" w:rsidP="00A50E7C">
      <w:pPr>
        <w:pStyle w:val="BodyText"/>
        <w:jc w:val="center"/>
        <w:rPr>
          <w:rFonts w:asciiTheme="minorHAnsi" w:hAnsiTheme="minorHAnsi" w:cstheme="minorHAnsi"/>
          <w:szCs w:val="24"/>
        </w:rPr>
      </w:pPr>
      <w:r w:rsidRPr="00A50E7C">
        <w:rPr>
          <w:rFonts w:asciiTheme="minorHAnsi" w:hAnsiTheme="minorHAnsi" w:cstheme="minorHAnsi"/>
          <w:szCs w:val="24"/>
        </w:rPr>
        <w:t xml:space="preserve">Mode of Financing: </w:t>
      </w:r>
      <w:r w:rsidR="00B829E4" w:rsidRPr="00A50E7C">
        <w:rPr>
          <w:rFonts w:asciiTheme="minorHAnsi" w:hAnsiTheme="minorHAnsi" w:cstheme="minorHAnsi"/>
          <w:szCs w:val="24"/>
        </w:rPr>
        <w:t>Installment Sale</w:t>
      </w:r>
    </w:p>
    <w:p w14:paraId="1551AE8D" w14:textId="0549F68C" w:rsidR="005F40FB" w:rsidRPr="00A50E7C" w:rsidRDefault="005F40FB" w:rsidP="00A50E7C">
      <w:pPr>
        <w:pStyle w:val="BodyText"/>
        <w:jc w:val="center"/>
        <w:rPr>
          <w:rFonts w:asciiTheme="minorHAnsi" w:hAnsiTheme="minorHAnsi" w:cstheme="minorHAnsi"/>
          <w:szCs w:val="24"/>
        </w:rPr>
      </w:pPr>
      <w:r w:rsidRPr="00A50E7C">
        <w:rPr>
          <w:rFonts w:asciiTheme="minorHAnsi" w:hAnsiTheme="minorHAnsi" w:cstheme="minorHAnsi"/>
          <w:szCs w:val="24"/>
        </w:rPr>
        <w:t xml:space="preserve">Financing No. </w:t>
      </w:r>
      <w:r w:rsidR="00B829E4" w:rsidRPr="00A50E7C">
        <w:rPr>
          <w:rFonts w:asciiTheme="minorHAnsi" w:hAnsiTheme="minorHAnsi" w:cstheme="minorHAnsi"/>
          <w:szCs w:val="24"/>
        </w:rPr>
        <w:t>IRQ-1050</w:t>
      </w:r>
    </w:p>
    <w:p w14:paraId="79A20959" w14:textId="77777777" w:rsidR="005130C3" w:rsidRPr="00A50E7C" w:rsidRDefault="005130C3">
      <w:pPr>
        <w:pStyle w:val="ChapterNumber"/>
        <w:tabs>
          <w:tab w:val="clear" w:pos="-720"/>
        </w:tabs>
        <w:rPr>
          <w:rFonts w:asciiTheme="minorHAnsi" w:hAnsiTheme="minorHAnsi" w:cstheme="minorHAnsi"/>
          <w:spacing w:val="-2"/>
          <w:sz w:val="24"/>
          <w:szCs w:val="24"/>
        </w:rPr>
      </w:pPr>
    </w:p>
    <w:p w14:paraId="584D8907" w14:textId="68DAF54C" w:rsidR="005130C3" w:rsidRPr="00A50E7C" w:rsidRDefault="00555A25" w:rsidP="00F623EB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        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The </w:t>
      </w:r>
      <w:r w:rsidR="008405CC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Republic of Iraq 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>has received</w:t>
      </w:r>
      <w:r w:rsidR="008405CC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a 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financing in the amount of </w:t>
      </w:r>
      <w:r w:rsidR="008405CC" w:rsidRPr="00A50E7C">
        <w:rPr>
          <w:rFonts w:asciiTheme="minorHAnsi" w:hAnsiTheme="minorHAnsi" w:cstheme="minorHAnsi"/>
          <w:spacing w:val="-2"/>
          <w:sz w:val="24"/>
          <w:szCs w:val="24"/>
        </w:rPr>
        <w:t>US Dollars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405CC" w:rsidRPr="00A50E7C">
        <w:rPr>
          <w:rFonts w:asciiTheme="minorHAnsi" w:hAnsiTheme="minorHAnsi" w:cstheme="minorHAnsi"/>
          <w:spacing w:val="-2"/>
          <w:sz w:val="24"/>
          <w:szCs w:val="24"/>
        </w:rPr>
        <w:t>17,000,000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equivalent from the </w:t>
      </w:r>
      <w:r w:rsidR="00DF62EB" w:rsidRPr="00A50E7C">
        <w:rPr>
          <w:rFonts w:asciiTheme="minorHAnsi" w:hAnsiTheme="minorHAnsi" w:cstheme="minorHAnsi"/>
          <w:spacing w:val="-2"/>
          <w:sz w:val="24"/>
          <w:szCs w:val="24"/>
        </w:rPr>
        <w:t>Islamic Development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Bank toward the cost of the </w:t>
      </w:r>
      <w:r w:rsidR="003A38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Reconstruction of </w:t>
      </w:r>
      <w:proofErr w:type="spellStart"/>
      <w:r w:rsidR="003A38C3" w:rsidRPr="00A50E7C">
        <w:rPr>
          <w:rFonts w:asciiTheme="minorHAnsi" w:hAnsiTheme="minorHAnsi" w:cstheme="minorHAnsi"/>
          <w:spacing w:val="-2"/>
          <w:sz w:val="24"/>
          <w:szCs w:val="24"/>
        </w:rPr>
        <w:t>Hawija</w:t>
      </w:r>
      <w:proofErr w:type="spellEnd"/>
      <w:r w:rsidR="003A38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Technical Institute</w:t>
      </w:r>
      <w:r w:rsidR="00B8669A">
        <w:rPr>
          <w:rFonts w:asciiTheme="minorHAnsi" w:hAnsiTheme="minorHAnsi" w:cstheme="minorHAnsi"/>
          <w:spacing w:val="-2"/>
          <w:sz w:val="24"/>
          <w:szCs w:val="24"/>
        </w:rPr>
        <w:t xml:space="preserve"> Project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, and it intends to apply part of the proceeds to payments for goods, works, related services and consulting services to be procured under this project. </w:t>
      </w:r>
      <w:r w:rsidR="005130C3" w:rsidRPr="00A50E7C">
        <w:rPr>
          <w:rFonts w:asciiTheme="minorHAnsi" w:hAnsiTheme="minorHAnsi" w:cstheme="minorHAnsi"/>
          <w:sz w:val="24"/>
          <w:szCs w:val="24"/>
        </w:rPr>
        <w:t xml:space="preserve">This project will be jointly financed by the </w:t>
      </w:r>
      <w:r w:rsidR="00F623EB" w:rsidRPr="00A50E7C">
        <w:rPr>
          <w:rFonts w:asciiTheme="minorHAnsi" w:hAnsiTheme="minorHAnsi" w:cstheme="minorHAnsi"/>
          <w:sz w:val="24"/>
          <w:szCs w:val="24"/>
        </w:rPr>
        <w:t>Government of the Republic of Iraq</w:t>
      </w:r>
      <w:r w:rsidR="00C00DF3">
        <w:rPr>
          <w:rFonts w:asciiTheme="minorHAnsi" w:hAnsiTheme="minorHAnsi" w:cstheme="minorHAnsi"/>
          <w:sz w:val="24"/>
          <w:szCs w:val="24"/>
        </w:rPr>
        <w:t xml:space="preserve"> under </w:t>
      </w:r>
      <w:r w:rsidR="00B615A5">
        <w:rPr>
          <w:rFonts w:asciiTheme="minorHAnsi" w:hAnsiTheme="minorHAnsi" w:cstheme="minorHAnsi"/>
          <w:sz w:val="24"/>
          <w:szCs w:val="24"/>
        </w:rPr>
        <w:t xml:space="preserve">the </w:t>
      </w:r>
      <w:r w:rsidR="00C00DF3">
        <w:rPr>
          <w:rFonts w:asciiTheme="minorHAnsi" w:hAnsiTheme="minorHAnsi" w:cstheme="minorHAnsi"/>
          <w:sz w:val="24"/>
          <w:szCs w:val="24"/>
        </w:rPr>
        <w:t>parallel financing arrangement</w:t>
      </w:r>
      <w:r w:rsidR="005130C3" w:rsidRPr="00A50E7C">
        <w:rPr>
          <w:rFonts w:asciiTheme="minorHAnsi" w:hAnsiTheme="minorHAnsi" w:cstheme="minorHAnsi"/>
          <w:sz w:val="24"/>
          <w:szCs w:val="24"/>
        </w:rPr>
        <w:t>.</w:t>
      </w:r>
    </w:p>
    <w:p w14:paraId="318EA863" w14:textId="77777777" w:rsidR="005130C3" w:rsidRPr="00A50E7C" w:rsidRDefault="005130C3" w:rsidP="0065085F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5448771" w14:textId="5FA424B7" w:rsidR="00931C6D" w:rsidRPr="00A50E7C" w:rsidRDefault="005130C3" w:rsidP="007D23BE">
      <w:pPr>
        <w:suppressAutoHyphens/>
        <w:spacing w:after="1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>The project will include the following components</w:t>
      </w:r>
      <w:r w:rsidR="00517F8D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</w:p>
    <w:tbl>
      <w:tblPr>
        <w:tblStyle w:val="TableGrid"/>
        <w:tblW w:w="5514" w:type="pct"/>
        <w:tblInd w:w="-455" w:type="dxa"/>
        <w:tblLayout w:type="fixed"/>
        <w:tblLook w:val="01E0" w:firstRow="1" w:lastRow="1" w:firstColumn="1" w:lastColumn="1" w:noHBand="0" w:noVBand="0"/>
      </w:tblPr>
      <w:tblGrid>
        <w:gridCol w:w="2288"/>
        <w:gridCol w:w="4210"/>
        <w:gridCol w:w="1513"/>
        <w:gridCol w:w="1506"/>
      </w:tblGrid>
      <w:tr w:rsidR="007843D7" w:rsidRPr="00347364" w14:paraId="33B4B5F5" w14:textId="77777777" w:rsidTr="00347364">
        <w:trPr>
          <w:trHeight w:val="529"/>
        </w:trPr>
        <w:tc>
          <w:tcPr>
            <w:tcW w:w="1202" w:type="pct"/>
          </w:tcPr>
          <w:p w14:paraId="6F927FBD" w14:textId="54FED5A7" w:rsidR="00655E48" w:rsidRPr="006C7915" w:rsidRDefault="006C7915" w:rsidP="006C7915">
            <w:pPr>
              <w:ind w:right="7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C7915">
              <w:rPr>
                <w:rFonts w:asciiTheme="minorHAnsi" w:hAnsiTheme="minorHAnsi" w:cstheme="minorHAnsi"/>
                <w:b/>
                <w:bCs/>
                <w:szCs w:val="22"/>
              </w:rPr>
              <w:t>Component / Category</w:t>
            </w:r>
          </w:p>
        </w:tc>
        <w:tc>
          <w:tcPr>
            <w:tcW w:w="2212" w:type="pct"/>
          </w:tcPr>
          <w:p w14:paraId="1A797B40" w14:textId="77777777" w:rsidR="00655E48" w:rsidRPr="006C7915" w:rsidRDefault="00655E48" w:rsidP="001E7DD2">
            <w:pPr>
              <w:ind w:right="68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C7915">
              <w:rPr>
                <w:rFonts w:asciiTheme="minorHAnsi" w:hAnsiTheme="minorHAnsi" w:cstheme="minorHAnsi"/>
                <w:b/>
                <w:bCs/>
                <w:szCs w:val="22"/>
              </w:rPr>
              <w:t>Contract Package – Type and Description</w:t>
            </w:r>
          </w:p>
        </w:tc>
        <w:tc>
          <w:tcPr>
            <w:tcW w:w="795" w:type="pct"/>
          </w:tcPr>
          <w:p w14:paraId="0017BE9E" w14:textId="77777777" w:rsidR="00655E48" w:rsidRPr="006C7915" w:rsidRDefault="00655E48" w:rsidP="001E7DD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C7915">
              <w:rPr>
                <w:rFonts w:asciiTheme="minorHAnsi" w:hAnsiTheme="minorHAnsi" w:cstheme="minorHAnsi"/>
                <w:b/>
                <w:bCs/>
                <w:szCs w:val="22"/>
              </w:rPr>
              <w:t>Procurement Methods</w:t>
            </w:r>
            <w:r w:rsidRPr="006C7915">
              <w:rPr>
                <w:rFonts w:asciiTheme="minorHAnsi" w:hAnsiTheme="minorHAnsi" w:cstheme="minorHAnsi"/>
                <w:b/>
                <w:bCs/>
                <w:szCs w:val="22"/>
                <w:vertAlign w:val="superscript"/>
              </w:rPr>
              <w:t>*</w:t>
            </w:r>
          </w:p>
        </w:tc>
        <w:tc>
          <w:tcPr>
            <w:tcW w:w="791" w:type="pct"/>
          </w:tcPr>
          <w:p w14:paraId="378CE833" w14:textId="77777777" w:rsidR="00655E48" w:rsidRPr="006C7915" w:rsidRDefault="00655E48" w:rsidP="001E7DD2">
            <w:pPr>
              <w:tabs>
                <w:tab w:val="left" w:pos="129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C7915">
              <w:rPr>
                <w:rFonts w:asciiTheme="minorHAnsi" w:hAnsiTheme="minorHAnsi" w:cstheme="minorHAnsi"/>
                <w:b/>
                <w:bCs/>
                <w:szCs w:val="22"/>
              </w:rPr>
              <w:t>Review Method</w:t>
            </w:r>
          </w:p>
        </w:tc>
      </w:tr>
      <w:tr w:rsidR="007843D7" w:rsidRPr="00347364" w14:paraId="7B503FD0" w14:textId="77777777" w:rsidTr="00347364">
        <w:trPr>
          <w:trHeight w:val="213"/>
        </w:trPr>
        <w:tc>
          <w:tcPr>
            <w:tcW w:w="1202" w:type="pct"/>
          </w:tcPr>
          <w:p w14:paraId="36B55225" w14:textId="77777777" w:rsidR="00655E48" w:rsidRPr="00347364" w:rsidRDefault="00655E48" w:rsidP="006C7915">
            <w:pPr>
              <w:ind w:right="7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47364">
              <w:rPr>
                <w:rFonts w:asciiTheme="minorHAnsi" w:hAnsiTheme="minorHAnsi" w:cstheme="minorHAnsi"/>
                <w:b/>
                <w:bCs/>
                <w:szCs w:val="22"/>
              </w:rPr>
              <w:t>Works:</w:t>
            </w:r>
          </w:p>
        </w:tc>
        <w:tc>
          <w:tcPr>
            <w:tcW w:w="2212" w:type="pct"/>
          </w:tcPr>
          <w:p w14:paraId="28DFEF08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5" w:type="pct"/>
          </w:tcPr>
          <w:p w14:paraId="3FCD6585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1" w:type="pct"/>
          </w:tcPr>
          <w:p w14:paraId="679286F4" w14:textId="77777777" w:rsidR="00655E48" w:rsidRPr="00347364" w:rsidRDefault="00655E48" w:rsidP="001E7DD2">
            <w:pPr>
              <w:tabs>
                <w:tab w:val="left" w:pos="129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43D7" w:rsidRPr="00347364" w14:paraId="46F95817" w14:textId="77777777" w:rsidTr="00347364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1202" w:type="pct"/>
          </w:tcPr>
          <w:p w14:paraId="50AD1475" w14:textId="31AB20A8" w:rsidR="00655E48" w:rsidRPr="00347364" w:rsidRDefault="00655E48" w:rsidP="007843D7">
            <w:pPr>
              <w:pStyle w:val="ListParagraph"/>
              <w:numPr>
                <w:ilvl w:val="0"/>
                <w:numId w:val="8"/>
              </w:numPr>
              <w:ind w:left="250" w:right="70" w:hanging="270"/>
              <w:rPr>
                <w:rFonts w:cstheme="minorHAnsi"/>
                <w:sz w:val="22"/>
                <w:szCs w:val="22"/>
              </w:rPr>
            </w:pPr>
            <w:r w:rsidRPr="00347364">
              <w:rPr>
                <w:rFonts w:cstheme="minorHAnsi"/>
                <w:sz w:val="22"/>
                <w:szCs w:val="22"/>
              </w:rPr>
              <w:t>Reconstruction of TVET Facilities</w:t>
            </w:r>
          </w:p>
        </w:tc>
        <w:tc>
          <w:tcPr>
            <w:tcW w:w="2212" w:type="pct"/>
          </w:tcPr>
          <w:p w14:paraId="06C22854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Reconstruction of Buildings/Facilities</w:t>
            </w:r>
            <w:r w:rsidRPr="00347364" w:rsidDel="00ED616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47364">
              <w:rPr>
                <w:rFonts w:asciiTheme="minorHAnsi" w:hAnsiTheme="minorHAnsi" w:cstheme="minorHAnsi"/>
                <w:szCs w:val="22"/>
              </w:rPr>
              <w:t>(reconstructing buildings, facilities, and related internal infrastructure)</w:t>
            </w:r>
          </w:p>
        </w:tc>
        <w:tc>
          <w:tcPr>
            <w:tcW w:w="795" w:type="pct"/>
          </w:tcPr>
          <w:p w14:paraId="341A78F6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ICB/MC</w:t>
            </w:r>
          </w:p>
        </w:tc>
        <w:tc>
          <w:tcPr>
            <w:tcW w:w="791" w:type="pct"/>
          </w:tcPr>
          <w:p w14:paraId="142412FE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  <w:tr w:rsidR="007843D7" w:rsidRPr="00347364" w14:paraId="1B2E77FF" w14:textId="77777777" w:rsidTr="00347364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202" w:type="pct"/>
          </w:tcPr>
          <w:p w14:paraId="17BF8509" w14:textId="77777777" w:rsidR="00655E48" w:rsidRPr="006C7915" w:rsidRDefault="00655E48" w:rsidP="006C7915">
            <w:pPr>
              <w:ind w:right="7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C7915">
              <w:rPr>
                <w:rFonts w:asciiTheme="minorHAnsi" w:hAnsiTheme="minorHAnsi" w:cstheme="minorHAnsi"/>
                <w:b/>
                <w:bCs/>
                <w:szCs w:val="22"/>
              </w:rPr>
              <w:t>Goods:</w:t>
            </w:r>
          </w:p>
        </w:tc>
        <w:tc>
          <w:tcPr>
            <w:tcW w:w="2212" w:type="pct"/>
          </w:tcPr>
          <w:p w14:paraId="4C5CA5E2" w14:textId="77777777" w:rsidR="00655E48" w:rsidRPr="00347364" w:rsidRDefault="00655E48" w:rsidP="001E7DD2">
            <w:pPr>
              <w:ind w:right="-10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5" w:type="pct"/>
          </w:tcPr>
          <w:p w14:paraId="613527F6" w14:textId="77777777" w:rsidR="00655E48" w:rsidRPr="00347364" w:rsidRDefault="00655E48" w:rsidP="001E7DD2">
            <w:pPr>
              <w:ind w:right="-10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1" w:type="pct"/>
          </w:tcPr>
          <w:p w14:paraId="08A0C83D" w14:textId="77777777" w:rsidR="00655E48" w:rsidRPr="00347364" w:rsidRDefault="00655E48" w:rsidP="001E7DD2">
            <w:pPr>
              <w:ind w:right="-106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43D7" w:rsidRPr="00347364" w14:paraId="137364F3" w14:textId="77777777" w:rsidTr="00347364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202" w:type="pct"/>
            <w:vMerge w:val="restart"/>
          </w:tcPr>
          <w:p w14:paraId="60BE2F14" w14:textId="70CAE545" w:rsidR="00655E48" w:rsidRPr="00347364" w:rsidRDefault="00655E48" w:rsidP="007843D7">
            <w:pPr>
              <w:pStyle w:val="ListParagraph"/>
              <w:numPr>
                <w:ilvl w:val="0"/>
                <w:numId w:val="8"/>
              </w:numPr>
              <w:ind w:left="250" w:right="70" w:hanging="270"/>
              <w:rPr>
                <w:rFonts w:cstheme="minorHAnsi"/>
                <w:sz w:val="22"/>
                <w:szCs w:val="22"/>
              </w:rPr>
            </w:pPr>
            <w:r w:rsidRPr="00347364">
              <w:rPr>
                <w:rFonts w:cstheme="minorHAnsi"/>
                <w:sz w:val="22"/>
                <w:szCs w:val="22"/>
              </w:rPr>
              <w:t>Supply of Furniture and Equipment</w:t>
            </w:r>
          </w:p>
        </w:tc>
        <w:tc>
          <w:tcPr>
            <w:tcW w:w="2212" w:type="pct"/>
          </w:tcPr>
          <w:p w14:paraId="38BE1D1A" w14:textId="77777777" w:rsidR="00655E48" w:rsidRPr="00347364" w:rsidRDefault="00655E48" w:rsidP="001E7DD2">
            <w:pPr>
              <w:pStyle w:val="ListParagraph"/>
              <w:spacing w:after="0" w:line="240" w:lineRule="auto"/>
              <w:ind w:left="-48" w:right="68"/>
              <w:rPr>
                <w:rFonts w:cstheme="minorHAnsi"/>
                <w:sz w:val="22"/>
                <w:szCs w:val="22"/>
              </w:rPr>
            </w:pPr>
            <w:r w:rsidRPr="00347364">
              <w:rPr>
                <w:rFonts w:cstheme="minorHAnsi"/>
                <w:sz w:val="22"/>
                <w:szCs w:val="22"/>
              </w:rPr>
              <w:t>Supply of Furniture and Non-Pedagogical Equipment</w:t>
            </w:r>
          </w:p>
        </w:tc>
        <w:tc>
          <w:tcPr>
            <w:tcW w:w="795" w:type="pct"/>
          </w:tcPr>
          <w:p w14:paraId="7834EA30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ICB/MC</w:t>
            </w:r>
          </w:p>
        </w:tc>
        <w:tc>
          <w:tcPr>
            <w:tcW w:w="791" w:type="pct"/>
          </w:tcPr>
          <w:p w14:paraId="79036CD7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  <w:tr w:rsidR="007843D7" w:rsidRPr="00347364" w14:paraId="27FBE767" w14:textId="77777777" w:rsidTr="00347364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202" w:type="pct"/>
            <w:vMerge/>
          </w:tcPr>
          <w:p w14:paraId="4CF48708" w14:textId="77777777" w:rsidR="00655E48" w:rsidRPr="00347364" w:rsidRDefault="00655E48" w:rsidP="007843D7">
            <w:pPr>
              <w:ind w:left="250" w:right="7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12" w:type="pct"/>
          </w:tcPr>
          <w:p w14:paraId="33D9D35C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Supply of Lab Equipment</w:t>
            </w:r>
          </w:p>
        </w:tc>
        <w:tc>
          <w:tcPr>
            <w:tcW w:w="795" w:type="pct"/>
          </w:tcPr>
          <w:p w14:paraId="58B8C10F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ICB (open)</w:t>
            </w:r>
          </w:p>
        </w:tc>
        <w:tc>
          <w:tcPr>
            <w:tcW w:w="791" w:type="pct"/>
          </w:tcPr>
          <w:p w14:paraId="3C691FF6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  <w:tr w:rsidR="007843D7" w:rsidRPr="00347364" w14:paraId="120BE83D" w14:textId="77777777" w:rsidTr="00347364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202" w:type="pct"/>
          </w:tcPr>
          <w:p w14:paraId="05E91564" w14:textId="77777777" w:rsidR="00655E48" w:rsidRPr="00347364" w:rsidRDefault="00655E48" w:rsidP="007843D7">
            <w:pPr>
              <w:ind w:left="250" w:right="70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Project Implementation</w:t>
            </w:r>
          </w:p>
          <w:p w14:paraId="59E64EEE" w14:textId="77777777" w:rsidR="00655E48" w:rsidRPr="00347364" w:rsidRDefault="00655E48" w:rsidP="007843D7">
            <w:pPr>
              <w:ind w:left="250" w:right="70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Support</w:t>
            </w:r>
          </w:p>
        </w:tc>
        <w:tc>
          <w:tcPr>
            <w:tcW w:w="2212" w:type="pct"/>
          </w:tcPr>
          <w:p w14:paraId="0023BD5B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 xml:space="preserve">PMT Office Goods (supply of office IT equipment, furniture, </w:t>
            </w:r>
            <w:proofErr w:type="gramStart"/>
            <w:r w:rsidRPr="00347364">
              <w:rPr>
                <w:rFonts w:asciiTheme="minorHAnsi" w:hAnsiTheme="minorHAnsi" w:cstheme="minorHAnsi"/>
                <w:szCs w:val="22"/>
              </w:rPr>
              <w:t>vehicle</w:t>
            </w:r>
            <w:proofErr w:type="gramEnd"/>
            <w:r w:rsidRPr="00347364">
              <w:rPr>
                <w:rFonts w:asciiTheme="minorHAnsi" w:hAnsiTheme="minorHAnsi" w:cstheme="minorHAnsi"/>
                <w:szCs w:val="22"/>
              </w:rPr>
              <w:t xml:space="preserve"> and accounting software) under multiple package/contracts</w:t>
            </w:r>
          </w:p>
        </w:tc>
        <w:tc>
          <w:tcPr>
            <w:tcW w:w="795" w:type="pct"/>
          </w:tcPr>
          <w:p w14:paraId="5AEA20A7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National Shopping</w:t>
            </w:r>
          </w:p>
        </w:tc>
        <w:tc>
          <w:tcPr>
            <w:tcW w:w="791" w:type="pct"/>
          </w:tcPr>
          <w:p w14:paraId="351F6FAC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  <w:tr w:rsidR="007843D7" w:rsidRPr="00347364" w14:paraId="568A2C73" w14:textId="77777777" w:rsidTr="00347364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202" w:type="pct"/>
          </w:tcPr>
          <w:p w14:paraId="4440F5FF" w14:textId="77777777" w:rsidR="00655E48" w:rsidRPr="006C7915" w:rsidRDefault="00655E48" w:rsidP="006C7915">
            <w:pPr>
              <w:ind w:right="7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C7915">
              <w:rPr>
                <w:rFonts w:asciiTheme="minorHAnsi" w:hAnsiTheme="minorHAnsi" w:cstheme="minorHAnsi"/>
                <w:b/>
                <w:bCs/>
                <w:szCs w:val="22"/>
              </w:rPr>
              <w:t>Services:</w:t>
            </w:r>
          </w:p>
        </w:tc>
        <w:tc>
          <w:tcPr>
            <w:tcW w:w="2212" w:type="pct"/>
          </w:tcPr>
          <w:p w14:paraId="6909DA30" w14:textId="77777777" w:rsidR="00655E48" w:rsidRPr="00347364" w:rsidRDefault="00655E48" w:rsidP="001E7DD2">
            <w:pPr>
              <w:ind w:right="-10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5" w:type="pct"/>
          </w:tcPr>
          <w:p w14:paraId="51B7E70E" w14:textId="77777777" w:rsidR="00655E48" w:rsidRPr="00347364" w:rsidRDefault="00655E48" w:rsidP="001E7DD2">
            <w:pPr>
              <w:ind w:right="-10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1" w:type="pct"/>
          </w:tcPr>
          <w:p w14:paraId="729B9AAF" w14:textId="77777777" w:rsidR="00655E48" w:rsidRPr="00347364" w:rsidRDefault="00655E48" w:rsidP="001E7DD2">
            <w:pPr>
              <w:ind w:right="-106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43D7" w:rsidRPr="00347364" w14:paraId="421B0D1F" w14:textId="77777777" w:rsidTr="00347364">
        <w:tblPrEx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1202" w:type="pct"/>
          </w:tcPr>
          <w:p w14:paraId="37959023" w14:textId="2EB798A0" w:rsidR="00655E48" w:rsidRPr="00347364" w:rsidRDefault="00655E48" w:rsidP="00347364">
            <w:pPr>
              <w:pStyle w:val="ListParagraph"/>
              <w:numPr>
                <w:ilvl w:val="0"/>
                <w:numId w:val="8"/>
              </w:numPr>
              <w:ind w:left="250" w:right="70" w:hanging="270"/>
              <w:rPr>
                <w:rFonts w:cstheme="minorHAnsi"/>
                <w:sz w:val="22"/>
                <w:szCs w:val="22"/>
              </w:rPr>
            </w:pPr>
            <w:r w:rsidRPr="00347364">
              <w:rPr>
                <w:rFonts w:cstheme="minorHAnsi"/>
                <w:sz w:val="22"/>
                <w:szCs w:val="22"/>
              </w:rPr>
              <w:t>Capacity Building in Quality TVET Delivery</w:t>
            </w:r>
          </w:p>
        </w:tc>
        <w:tc>
          <w:tcPr>
            <w:tcW w:w="2212" w:type="pct"/>
          </w:tcPr>
          <w:p w14:paraId="1EC6AF7C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Capacity Development in TVET (Needs Assessment, Program Design and Delivery)</w:t>
            </w:r>
          </w:p>
        </w:tc>
        <w:tc>
          <w:tcPr>
            <w:tcW w:w="795" w:type="pct"/>
          </w:tcPr>
          <w:p w14:paraId="0900C013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QCBS</w:t>
            </w:r>
          </w:p>
        </w:tc>
        <w:tc>
          <w:tcPr>
            <w:tcW w:w="791" w:type="pct"/>
          </w:tcPr>
          <w:p w14:paraId="1C5348C2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  <w:tr w:rsidR="007843D7" w:rsidRPr="00347364" w14:paraId="3C35AA96" w14:textId="77777777" w:rsidTr="00347364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202" w:type="pct"/>
            <w:vMerge w:val="restart"/>
          </w:tcPr>
          <w:p w14:paraId="22D34584" w14:textId="1198D89C" w:rsidR="00655E48" w:rsidRPr="00347364" w:rsidRDefault="00655E48" w:rsidP="007843D7">
            <w:pPr>
              <w:pStyle w:val="ListParagraph"/>
              <w:numPr>
                <w:ilvl w:val="0"/>
                <w:numId w:val="8"/>
              </w:numPr>
              <w:ind w:left="250" w:right="70" w:hanging="270"/>
              <w:rPr>
                <w:rFonts w:cstheme="minorHAnsi"/>
                <w:sz w:val="22"/>
                <w:szCs w:val="22"/>
              </w:rPr>
            </w:pPr>
            <w:r w:rsidRPr="00347364">
              <w:rPr>
                <w:rFonts w:cstheme="minorHAnsi"/>
                <w:sz w:val="22"/>
                <w:szCs w:val="22"/>
              </w:rPr>
              <w:t>Project Implementation</w:t>
            </w:r>
          </w:p>
          <w:p w14:paraId="1E1E97F8" w14:textId="77777777" w:rsidR="00655E48" w:rsidRPr="00347364" w:rsidRDefault="00655E48" w:rsidP="007843D7">
            <w:pPr>
              <w:ind w:left="250" w:right="70" w:hanging="270"/>
              <w:rPr>
                <w:rFonts w:asciiTheme="minorHAnsi" w:eastAsiaTheme="minorEastAsia" w:hAnsiTheme="minorHAnsi" w:cstheme="minorHAnsi"/>
                <w:szCs w:val="22"/>
                <w:lang w:val="en-GB"/>
              </w:rPr>
            </w:pPr>
            <w:r w:rsidRPr="00347364">
              <w:rPr>
                <w:rFonts w:asciiTheme="minorHAnsi" w:eastAsiaTheme="minorEastAsia" w:hAnsiTheme="minorHAnsi" w:cstheme="minorHAnsi"/>
                <w:szCs w:val="22"/>
                <w:lang w:val="en-GB"/>
              </w:rPr>
              <w:t>Support</w:t>
            </w:r>
          </w:p>
        </w:tc>
        <w:tc>
          <w:tcPr>
            <w:tcW w:w="2212" w:type="pct"/>
          </w:tcPr>
          <w:p w14:paraId="4BEBB867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Design Validation and Construction Supervision</w:t>
            </w:r>
          </w:p>
        </w:tc>
        <w:tc>
          <w:tcPr>
            <w:tcW w:w="795" w:type="pct"/>
          </w:tcPr>
          <w:p w14:paraId="1346C555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QCBS/MC</w:t>
            </w:r>
          </w:p>
        </w:tc>
        <w:tc>
          <w:tcPr>
            <w:tcW w:w="791" w:type="pct"/>
          </w:tcPr>
          <w:p w14:paraId="1689B6C7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  <w:tr w:rsidR="007843D7" w:rsidRPr="00347364" w14:paraId="0818824B" w14:textId="77777777" w:rsidTr="00347364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1202" w:type="pct"/>
            <w:vMerge/>
          </w:tcPr>
          <w:p w14:paraId="71DE2278" w14:textId="77777777" w:rsidR="00655E48" w:rsidRPr="00347364" w:rsidRDefault="00655E48" w:rsidP="007843D7">
            <w:pPr>
              <w:pStyle w:val="ListParagraph"/>
              <w:numPr>
                <w:ilvl w:val="0"/>
                <w:numId w:val="8"/>
              </w:numPr>
              <w:ind w:left="250" w:right="70" w:hanging="2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pct"/>
          </w:tcPr>
          <w:p w14:paraId="4EAAD8E6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Project Management Consultancy (Support in Project Management, Procurement, Finance, Disbursement and M&amp;E)</w:t>
            </w:r>
          </w:p>
        </w:tc>
        <w:tc>
          <w:tcPr>
            <w:tcW w:w="795" w:type="pct"/>
          </w:tcPr>
          <w:p w14:paraId="108BE6BE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QCBS/MC</w:t>
            </w:r>
          </w:p>
        </w:tc>
        <w:tc>
          <w:tcPr>
            <w:tcW w:w="791" w:type="pct"/>
          </w:tcPr>
          <w:p w14:paraId="793F2FC5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  <w:tr w:rsidR="007843D7" w:rsidRPr="00347364" w14:paraId="06059978" w14:textId="77777777" w:rsidTr="00347364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202" w:type="pct"/>
          </w:tcPr>
          <w:p w14:paraId="2F4B361D" w14:textId="34DC0D1C" w:rsidR="00655E48" w:rsidRPr="00347364" w:rsidRDefault="00655E48" w:rsidP="007843D7">
            <w:pPr>
              <w:pStyle w:val="ListParagraph"/>
              <w:numPr>
                <w:ilvl w:val="0"/>
                <w:numId w:val="8"/>
              </w:numPr>
              <w:ind w:left="250" w:right="70" w:hanging="270"/>
              <w:rPr>
                <w:rFonts w:cstheme="minorHAnsi"/>
                <w:sz w:val="22"/>
                <w:szCs w:val="22"/>
              </w:rPr>
            </w:pPr>
            <w:r w:rsidRPr="00347364">
              <w:rPr>
                <w:rFonts w:cstheme="minorHAnsi"/>
                <w:sz w:val="22"/>
                <w:szCs w:val="22"/>
              </w:rPr>
              <w:t>Financial Audit</w:t>
            </w:r>
          </w:p>
        </w:tc>
        <w:tc>
          <w:tcPr>
            <w:tcW w:w="2212" w:type="pct"/>
          </w:tcPr>
          <w:p w14:paraId="6D398C82" w14:textId="77777777" w:rsidR="00655E48" w:rsidRPr="00347364" w:rsidRDefault="00655E48" w:rsidP="001E7DD2">
            <w:pPr>
              <w:ind w:right="68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Financial Audit (Annually)</w:t>
            </w:r>
          </w:p>
        </w:tc>
        <w:tc>
          <w:tcPr>
            <w:tcW w:w="795" w:type="pct"/>
          </w:tcPr>
          <w:p w14:paraId="76055EC3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LCS/LC</w:t>
            </w:r>
          </w:p>
        </w:tc>
        <w:tc>
          <w:tcPr>
            <w:tcW w:w="791" w:type="pct"/>
          </w:tcPr>
          <w:p w14:paraId="00E255E3" w14:textId="77777777" w:rsidR="00655E48" w:rsidRPr="00347364" w:rsidRDefault="00655E48" w:rsidP="001E7D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47364">
              <w:rPr>
                <w:rFonts w:asciiTheme="minorHAnsi" w:hAnsiTheme="minorHAnsi" w:cstheme="minorHAnsi"/>
                <w:szCs w:val="22"/>
              </w:rPr>
              <w:t>Prior Review</w:t>
            </w:r>
          </w:p>
        </w:tc>
      </w:tr>
    </w:tbl>
    <w:p w14:paraId="7DC2F7A8" w14:textId="77777777" w:rsidR="00655E48" w:rsidRDefault="00655E48" w:rsidP="00173833">
      <w:pPr>
        <w:suppressAutoHyphens/>
        <w:jc w:val="both"/>
      </w:pPr>
    </w:p>
    <w:p w14:paraId="19B49C68" w14:textId="21ABF7B9" w:rsidR="005130C3" w:rsidRPr="00B8669A" w:rsidRDefault="001D1D63" w:rsidP="00A50E7C">
      <w:pPr>
        <w:pStyle w:val="Default"/>
        <w:jc w:val="both"/>
        <w:rPr>
          <w:rFonts w:asciiTheme="minorHAnsi" w:hAnsiTheme="minorHAnsi" w:cstheme="minorHAnsi"/>
          <w:i/>
        </w:rPr>
      </w:pPr>
      <w:r w:rsidRPr="00A50E7C">
        <w:rPr>
          <w:rFonts w:asciiTheme="minorHAnsi" w:hAnsiTheme="minorHAnsi" w:cstheme="minorHAnsi"/>
          <w:i/>
          <w:iCs/>
        </w:rPr>
        <w:t xml:space="preserve"> </w:t>
      </w:r>
      <w:r w:rsidR="00555A25" w:rsidRPr="00A50E7C">
        <w:rPr>
          <w:rFonts w:asciiTheme="minorHAnsi" w:hAnsiTheme="minorHAnsi" w:cstheme="minorHAnsi"/>
          <w:i/>
          <w:iCs/>
        </w:rPr>
        <w:t xml:space="preserve">        </w:t>
      </w:r>
      <w:r w:rsidR="005130C3" w:rsidRPr="00A50E7C">
        <w:rPr>
          <w:rFonts w:asciiTheme="minorHAnsi" w:hAnsiTheme="minorHAnsi" w:cstheme="minorHAnsi"/>
        </w:rPr>
        <w:t xml:space="preserve">Procurement of contracts financed by the </w:t>
      </w:r>
      <w:r w:rsidR="00DF62EB" w:rsidRPr="00A50E7C">
        <w:rPr>
          <w:rFonts w:asciiTheme="minorHAnsi" w:hAnsiTheme="minorHAnsi" w:cstheme="minorHAnsi"/>
        </w:rPr>
        <w:t>Islamic Development</w:t>
      </w:r>
      <w:r w:rsidR="005130C3" w:rsidRPr="00A50E7C">
        <w:rPr>
          <w:rFonts w:asciiTheme="minorHAnsi" w:hAnsiTheme="minorHAnsi" w:cstheme="minorHAnsi"/>
        </w:rPr>
        <w:t xml:space="preserve"> Bank will be conducted through the procedures as specified in the </w:t>
      </w:r>
      <w:r w:rsidR="004F73A0" w:rsidRPr="00A50E7C">
        <w:rPr>
          <w:rFonts w:asciiTheme="minorHAnsi" w:hAnsiTheme="minorHAnsi" w:cstheme="minorHAnsi"/>
        </w:rPr>
        <w:t xml:space="preserve">Guidelines for Procurement of Goods </w:t>
      </w:r>
      <w:r w:rsidR="001923A4" w:rsidRPr="00A50E7C">
        <w:rPr>
          <w:rFonts w:asciiTheme="minorHAnsi" w:hAnsiTheme="minorHAnsi" w:cstheme="minorHAnsi"/>
        </w:rPr>
        <w:t>(</w:t>
      </w:r>
      <w:r w:rsidR="004F73A0" w:rsidRPr="00A50E7C">
        <w:rPr>
          <w:rFonts w:asciiTheme="minorHAnsi" w:hAnsiTheme="minorHAnsi" w:cstheme="minorHAnsi"/>
        </w:rPr>
        <w:t>April 2019</w:t>
      </w:r>
      <w:r w:rsidR="005130C3" w:rsidRPr="00A50E7C">
        <w:rPr>
          <w:rFonts w:asciiTheme="minorHAnsi" w:hAnsiTheme="minorHAnsi" w:cstheme="minorHAnsi"/>
        </w:rPr>
        <w:t xml:space="preserve">), and is open to all eligible bidders as defined in the guidelines. Consulting services will be selected in accordance with the </w:t>
      </w:r>
      <w:r w:rsidR="00023316" w:rsidRPr="00A50E7C">
        <w:rPr>
          <w:rFonts w:asciiTheme="minorHAnsi" w:hAnsiTheme="minorHAnsi" w:cstheme="minorHAnsi"/>
        </w:rPr>
        <w:t>Guidelines for the Use of Consultants</w:t>
      </w:r>
      <w:r w:rsidR="00023316" w:rsidRPr="00A50E7C" w:rsidDel="00023316">
        <w:rPr>
          <w:rFonts w:asciiTheme="minorHAnsi" w:hAnsiTheme="minorHAnsi" w:cstheme="minorHAnsi"/>
        </w:rPr>
        <w:t xml:space="preserve"> </w:t>
      </w:r>
      <w:r w:rsidR="00C82217" w:rsidRPr="00A50E7C">
        <w:rPr>
          <w:rFonts w:asciiTheme="minorHAnsi" w:hAnsiTheme="minorHAnsi" w:cstheme="minorHAnsi"/>
        </w:rPr>
        <w:t>(</w:t>
      </w:r>
      <w:r w:rsidR="00C82217" w:rsidRPr="00D7652B">
        <w:rPr>
          <w:rFonts w:asciiTheme="minorHAnsi" w:hAnsiTheme="minorHAnsi" w:cstheme="minorHAnsi"/>
        </w:rPr>
        <w:t>April 2019</w:t>
      </w:r>
      <w:r w:rsidR="00C82217" w:rsidRPr="00B8669A">
        <w:rPr>
          <w:rFonts w:asciiTheme="minorHAnsi" w:hAnsiTheme="minorHAnsi" w:cstheme="minorHAnsi"/>
        </w:rPr>
        <w:t>).</w:t>
      </w:r>
    </w:p>
    <w:p w14:paraId="40E100F2" w14:textId="77777777" w:rsidR="005130C3" w:rsidRPr="00C00DF3" w:rsidRDefault="005130C3" w:rsidP="0065085F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77892356" w14:textId="75B7011D" w:rsidR="00F04E66" w:rsidRDefault="00555A25" w:rsidP="00F04E66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00DF3">
        <w:rPr>
          <w:rFonts w:asciiTheme="minorHAnsi" w:hAnsiTheme="minorHAnsi" w:cstheme="minorHAnsi"/>
          <w:spacing w:val="-2"/>
          <w:sz w:val="24"/>
          <w:szCs w:val="24"/>
        </w:rPr>
        <w:lastRenderedPageBreak/>
        <w:t xml:space="preserve">        </w:t>
      </w:r>
      <w:r w:rsidR="005130C3" w:rsidRPr="00C00DF3">
        <w:rPr>
          <w:rFonts w:asciiTheme="minorHAnsi" w:hAnsiTheme="minorHAnsi" w:cstheme="minorHAnsi"/>
          <w:spacing w:val="-2"/>
          <w:sz w:val="24"/>
          <w:szCs w:val="24"/>
        </w:rPr>
        <w:t xml:space="preserve">Specific </w:t>
      </w:r>
      <w:r w:rsidR="00342D48" w:rsidRPr="00C00DF3">
        <w:rPr>
          <w:rFonts w:asciiTheme="minorHAnsi" w:hAnsiTheme="minorHAnsi" w:cstheme="minorHAnsi"/>
          <w:spacing w:val="-2"/>
          <w:sz w:val="24"/>
          <w:szCs w:val="24"/>
        </w:rPr>
        <w:t xml:space="preserve">Procurement </w:t>
      </w:r>
      <w:r w:rsidR="00342D48" w:rsidRPr="00B71CC4">
        <w:rPr>
          <w:rFonts w:asciiTheme="minorHAnsi" w:hAnsiTheme="minorHAnsi" w:cstheme="minorHAnsi"/>
          <w:spacing w:val="-2"/>
          <w:sz w:val="24"/>
          <w:szCs w:val="24"/>
        </w:rPr>
        <w:t xml:space="preserve">Notices </w:t>
      </w:r>
      <w:r w:rsidR="005130C3" w:rsidRPr="00B71CC4">
        <w:rPr>
          <w:rFonts w:asciiTheme="minorHAnsi" w:hAnsiTheme="minorHAnsi" w:cstheme="minorHAnsi"/>
          <w:spacing w:val="-2"/>
          <w:sz w:val="24"/>
          <w:szCs w:val="24"/>
        </w:rPr>
        <w:t xml:space="preserve">for contracts to be bid under the </w:t>
      </w:r>
      <w:r w:rsidR="00DF62EB" w:rsidRPr="00B71CC4">
        <w:rPr>
          <w:rFonts w:asciiTheme="minorHAnsi" w:hAnsiTheme="minorHAnsi" w:cstheme="minorHAnsi"/>
          <w:spacing w:val="-2"/>
          <w:sz w:val="24"/>
          <w:szCs w:val="24"/>
        </w:rPr>
        <w:t>Islamic Development</w:t>
      </w:r>
      <w:r w:rsidR="005130C3" w:rsidRPr="00C0687D">
        <w:rPr>
          <w:rFonts w:asciiTheme="minorHAnsi" w:hAnsiTheme="minorHAnsi" w:cstheme="minorHAnsi"/>
          <w:spacing w:val="-2"/>
          <w:sz w:val="24"/>
          <w:szCs w:val="24"/>
        </w:rPr>
        <w:t xml:space="preserve"> Bank’s international competitive bidding (ICB) </w:t>
      </w:r>
      <w:r w:rsidR="00DF62EB" w:rsidRPr="00C0687D">
        <w:rPr>
          <w:rFonts w:asciiTheme="minorHAnsi" w:hAnsiTheme="minorHAnsi" w:cstheme="minorHAnsi"/>
          <w:spacing w:val="-2"/>
          <w:sz w:val="24"/>
          <w:szCs w:val="24"/>
        </w:rPr>
        <w:t xml:space="preserve">or international competitive bidding – member countries (ICB/MC) </w:t>
      </w:r>
      <w:r w:rsidR="005130C3" w:rsidRPr="00A30AB2">
        <w:rPr>
          <w:rFonts w:asciiTheme="minorHAnsi" w:hAnsiTheme="minorHAnsi" w:cstheme="minorHAnsi"/>
          <w:spacing w:val="-2"/>
          <w:sz w:val="24"/>
          <w:szCs w:val="24"/>
        </w:rPr>
        <w:t>procedures and for contracts for consultancy services will be announced, as they become av</w:t>
      </w:r>
      <w:r w:rsidR="005130C3"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ailable, in </w:t>
      </w:r>
      <w:hyperlink r:id="rId11" w:history="1">
        <w:r w:rsidR="00DF62EB" w:rsidRPr="00A50E7C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I</w:t>
        </w:r>
        <w:r w:rsidR="00073C60" w:rsidRPr="00A50E7C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s</w:t>
        </w:r>
        <w:r w:rsidR="00DF62EB" w:rsidRPr="00A50E7C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DB Website</w:t>
        </w:r>
      </w:hyperlink>
      <w:r w:rsidR="00885A40" w:rsidRPr="00A50E7C">
        <w:rPr>
          <w:rStyle w:val="Hyperlink"/>
          <w:rFonts w:asciiTheme="minorHAnsi" w:hAnsiTheme="minorHAnsi" w:cstheme="minorHAnsi"/>
          <w:spacing w:val="-2"/>
          <w:sz w:val="24"/>
          <w:szCs w:val="24"/>
        </w:rPr>
        <w:t>, DgMarket</w:t>
      </w:r>
      <w:r w:rsidR="003D402E" w:rsidRPr="00A50E7C">
        <w:rPr>
          <w:rStyle w:val="Hyperlink"/>
          <w:rFonts w:asciiTheme="minorHAnsi" w:hAnsiTheme="minorHAnsi" w:cstheme="minorHAnsi"/>
          <w:spacing w:val="-2"/>
          <w:sz w:val="24"/>
          <w:szCs w:val="24"/>
        </w:rPr>
        <w:t xml:space="preserve"> website</w:t>
      </w:r>
      <w:r w:rsidR="006F7B61" w:rsidRPr="00A50E7C">
        <w:rPr>
          <w:rStyle w:val="Hyperlink"/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F51BD" w:rsidRPr="00A50E7C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and </w:t>
      </w:r>
      <w:hyperlink r:id="rId12" w:history="1">
        <w:r w:rsidR="00AD0A33" w:rsidRPr="00AD0A33">
          <w:rPr>
            <w:rStyle w:val="Hyperlink"/>
            <w:rFonts w:asciiTheme="minorHAnsi" w:hAnsiTheme="minorHAnsi" w:cstheme="minorHAnsi"/>
            <w:iCs/>
            <w:spacing w:val="-2"/>
            <w:sz w:val="24"/>
            <w:szCs w:val="24"/>
          </w:rPr>
          <w:t>ReFAATO’s website</w:t>
        </w:r>
      </w:hyperlink>
      <w:r w:rsidR="00AD0A33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(</w:t>
      </w:r>
      <w:r w:rsidR="00656D0C" w:rsidRPr="00656D0C">
        <w:rPr>
          <w:rFonts w:asciiTheme="minorHAnsi" w:hAnsiTheme="minorHAnsi" w:cstheme="minorHAnsi"/>
          <w:iCs/>
          <w:spacing w:val="-2"/>
          <w:sz w:val="24"/>
          <w:szCs w:val="24"/>
        </w:rPr>
        <w:t>www.refaato.iq</w:t>
      </w:r>
      <w:r w:rsidR="00AD0A33">
        <w:rPr>
          <w:rFonts w:asciiTheme="minorHAnsi" w:hAnsiTheme="minorHAnsi" w:cstheme="minorHAnsi"/>
          <w:iCs/>
          <w:spacing w:val="-2"/>
          <w:sz w:val="24"/>
          <w:szCs w:val="24"/>
        </w:rPr>
        <w:t>).</w:t>
      </w:r>
      <w:r w:rsidR="00D147AE" w:rsidRPr="00A50E7C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="004F51BD" w:rsidRPr="00A50E7C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</w:p>
    <w:p w14:paraId="005C28F1" w14:textId="77777777" w:rsidR="00F04E66" w:rsidRDefault="00555A25" w:rsidP="00F04E66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        </w:t>
      </w:r>
    </w:p>
    <w:p w14:paraId="1A147586" w14:textId="3A49A008" w:rsidR="00DB5377" w:rsidRDefault="00DB5377" w:rsidP="00A83A6F">
      <w:pPr>
        <w:suppressAutoHyphens/>
        <w:ind w:firstLine="45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50E7C">
        <w:rPr>
          <w:rFonts w:asciiTheme="minorHAnsi" w:hAnsiTheme="minorHAnsi" w:cstheme="minorHAnsi"/>
          <w:spacing w:val="-2"/>
          <w:sz w:val="24"/>
          <w:szCs w:val="24"/>
        </w:rPr>
        <w:t xml:space="preserve">Interested eligible firms and individuals who would wish to be considered for the provision of goods, works and consulting services for the </w:t>
      </w:r>
      <w:proofErr w:type="gramStart"/>
      <w:r w:rsidRPr="00A50E7C">
        <w:rPr>
          <w:rFonts w:asciiTheme="minorHAnsi" w:hAnsiTheme="minorHAnsi" w:cstheme="minorHAnsi"/>
          <w:spacing w:val="-2"/>
          <w:sz w:val="24"/>
          <w:szCs w:val="24"/>
        </w:rPr>
        <w:t>above mentioned</w:t>
      </w:r>
      <w:proofErr w:type="gramEnd"/>
      <w:r w:rsidRPr="00D7652B">
        <w:rPr>
          <w:rFonts w:asciiTheme="minorHAnsi" w:hAnsiTheme="minorHAnsi" w:cstheme="minorHAnsi"/>
          <w:spacing w:val="-2"/>
          <w:sz w:val="24"/>
          <w:szCs w:val="24"/>
        </w:rPr>
        <w:t xml:space="preserve"> project, or those requiring additional information, should contact the Beneficiary</w:t>
      </w:r>
      <w:r w:rsidRPr="00B8669A">
        <w:rPr>
          <w:rFonts w:asciiTheme="minorHAnsi" w:hAnsiTheme="minorHAnsi" w:cstheme="minorHAnsi"/>
          <w:spacing w:val="-2"/>
          <w:sz w:val="24"/>
          <w:szCs w:val="24"/>
        </w:rPr>
        <w:t xml:space="preserve"> at the address below:</w:t>
      </w:r>
    </w:p>
    <w:p w14:paraId="358D2B06" w14:textId="77777777" w:rsidR="00401040" w:rsidRPr="00C00DF3" w:rsidRDefault="00401040" w:rsidP="00A83A6F">
      <w:pPr>
        <w:suppressAutoHyphens/>
        <w:ind w:firstLine="450"/>
        <w:jc w:val="both"/>
        <w:rPr>
          <w:rFonts w:asciiTheme="minorHAnsi" w:hAnsiTheme="minorHAnsi" w:cstheme="minorHAnsi"/>
          <w:sz w:val="24"/>
          <w:szCs w:val="24"/>
        </w:rPr>
      </w:pPr>
    </w:p>
    <w:p w14:paraId="1DED5525" w14:textId="08B2B78A" w:rsidR="00DB5377" w:rsidRPr="00A50E7C" w:rsidRDefault="006F0CA9" w:rsidP="00617D20">
      <w:pPr>
        <w:rPr>
          <w:rFonts w:asciiTheme="minorHAnsi" w:hAnsiTheme="minorHAnsi" w:cstheme="minorHAnsi"/>
          <w:iCs/>
          <w:sz w:val="24"/>
          <w:szCs w:val="24"/>
        </w:rPr>
      </w:pPr>
      <w:r w:rsidRPr="00A50E7C">
        <w:rPr>
          <w:rFonts w:asciiTheme="minorHAnsi" w:hAnsiTheme="minorHAnsi" w:cstheme="minorHAnsi"/>
          <w:iCs/>
          <w:sz w:val="24"/>
          <w:szCs w:val="24"/>
        </w:rPr>
        <w:t>Re</w:t>
      </w:r>
      <w:r w:rsidR="00617D20" w:rsidRPr="00A50E7C">
        <w:rPr>
          <w:rFonts w:asciiTheme="minorHAnsi" w:hAnsiTheme="minorHAnsi" w:cstheme="minorHAnsi"/>
          <w:iCs/>
          <w:sz w:val="24"/>
          <w:szCs w:val="24"/>
        </w:rPr>
        <w:t>construction Fund for Areas Affected by Terroristic Operations</w:t>
      </w:r>
      <w:r w:rsidR="00B829E4" w:rsidRPr="00A50E7C">
        <w:rPr>
          <w:rFonts w:asciiTheme="minorHAnsi" w:hAnsiTheme="minorHAnsi" w:cstheme="minorHAnsi"/>
          <w:iCs/>
          <w:sz w:val="24"/>
          <w:szCs w:val="24"/>
        </w:rPr>
        <w:t xml:space="preserve"> (</w:t>
      </w:r>
      <w:proofErr w:type="spellStart"/>
      <w:r w:rsidR="00617D20" w:rsidRPr="00A50E7C">
        <w:rPr>
          <w:rFonts w:asciiTheme="minorHAnsi" w:hAnsiTheme="minorHAnsi" w:cstheme="minorHAnsi"/>
          <w:iCs/>
          <w:sz w:val="24"/>
          <w:szCs w:val="24"/>
        </w:rPr>
        <w:t>ReFAATO</w:t>
      </w:r>
      <w:proofErr w:type="spellEnd"/>
      <w:r w:rsidR="00B829E4" w:rsidRPr="00A50E7C">
        <w:rPr>
          <w:rFonts w:asciiTheme="minorHAnsi" w:hAnsiTheme="minorHAnsi" w:cstheme="minorHAnsi"/>
          <w:iCs/>
          <w:sz w:val="24"/>
          <w:szCs w:val="24"/>
        </w:rPr>
        <w:t>)</w:t>
      </w:r>
    </w:p>
    <w:p w14:paraId="31BF0443" w14:textId="3B134584" w:rsidR="00E25B81" w:rsidRDefault="00B829E4" w:rsidP="006F0CA9">
      <w:pPr>
        <w:rPr>
          <w:rFonts w:asciiTheme="minorHAnsi" w:hAnsiTheme="minorHAnsi" w:cstheme="minorHAnsi"/>
          <w:iCs/>
          <w:sz w:val="24"/>
          <w:szCs w:val="24"/>
        </w:rPr>
      </w:pPr>
      <w:r w:rsidRPr="00A50E7C">
        <w:rPr>
          <w:rFonts w:asciiTheme="minorHAnsi" w:hAnsiTheme="minorHAnsi" w:cstheme="minorHAnsi"/>
          <w:iCs/>
          <w:sz w:val="24"/>
          <w:szCs w:val="24"/>
        </w:rPr>
        <w:t xml:space="preserve">Attention: </w:t>
      </w:r>
      <w:r w:rsidRPr="00A50E7C">
        <w:rPr>
          <w:rFonts w:asciiTheme="minorHAnsi" w:hAnsiTheme="minorHAnsi" w:cstheme="minorHAnsi"/>
          <w:iCs/>
          <w:sz w:val="24"/>
          <w:szCs w:val="24"/>
        </w:rPr>
        <w:tab/>
      </w:r>
      <w:r w:rsidR="006F0CA9" w:rsidRPr="00A50E7C">
        <w:rPr>
          <w:rFonts w:asciiTheme="minorHAnsi" w:hAnsiTheme="minorHAnsi" w:cstheme="minorHAnsi"/>
          <w:iCs/>
          <w:sz w:val="24"/>
          <w:szCs w:val="24"/>
        </w:rPr>
        <w:t xml:space="preserve">Eng. </w:t>
      </w:r>
      <w:proofErr w:type="spellStart"/>
      <w:r w:rsidR="006F0CA9" w:rsidRPr="00A50E7C">
        <w:rPr>
          <w:rFonts w:asciiTheme="minorHAnsi" w:hAnsiTheme="minorHAnsi" w:cstheme="minorHAnsi"/>
          <w:iCs/>
          <w:sz w:val="24"/>
          <w:szCs w:val="24"/>
        </w:rPr>
        <w:t>Mutaz</w:t>
      </w:r>
      <w:proofErr w:type="spellEnd"/>
      <w:r w:rsidR="006F0CA9" w:rsidRPr="00A50E7C">
        <w:rPr>
          <w:rFonts w:asciiTheme="minorHAnsi" w:hAnsiTheme="minorHAnsi" w:cstheme="minorHAnsi"/>
          <w:iCs/>
          <w:sz w:val="24"/>
          <w:szCs w:val="24"/>
        </w:rPr>
        <w:t xml:space="preserve"> Sabah</w:t>
      </w:r>
      <w:r w:rsidR="00E25B81">
        <w:rPr>
          <w:rFonts w:asciiTheme="minorHAnsi" w:hAnsiTheme="minorHAnsi" w:cstheme="minorHAnsi"/>
          <w:iCs/>
          <w:sz w:val="24"/>
          <w:szCs w:val="24"/>
        </w:rPr>
        <w:t>, Project Management Team Leader</w:t>
      </w:r>
    </w:p>
    <w:p w14:paraId="5872AB69" w14:textId="7326C777" w:rsidR="000D6C3A" w:rsidRPr="00A50E7C" w:rsidRDefault="00B829E4" w:rsidP="006F0CA9">
      <w:pPr>
        <w:rPr>
          <w:rFonts w:asciiTheme="minorHAnsi" w:hAnsiTheme="minorHAnsi" w:cstheme="minorHAnsi"/>
          <w:iCs/>
          <w:sz w:val="24"/>
          <w:szCs w:val="24"/>
        </w:rPr>
      </w:pPr>
      <w:r w:rsidRPr="00A50E7C">
        <w:rPr>
          <w:rFonts w:asciiTheme="minorHAnsi" w:hAnsiTheme="minorHAnsi" w:cstheme="minorHAnsi"/>
          <w:iCs/>
          <w:sz w:val="24"/>
          <w:szCs w:val="24"/>
        </w:rPr>
        <w:t xml:space="preserve">Address: </w:t>
      </w:r>
      <w:r w:rsidRPr="00A50E7C">
        <w:rPr>
          <w:rFonts w:asciiTheme="minorHAnsi" w:hAnsiTheme="minorHAnsi" w:cstheme="minorHAnsi"/>
          <w:iCs/>
          <w:sz w:val="24"/>
          <w:szCs w:val="24"/>
        </w:rPr>
        <w:tab/>
      </w:r>
      <w:r w:rsidR="000D6C3A">
        <w:rPr>
          <w:rFonts w:asciiTheme="minorHAnsi" w:hAnsiTheme="minorHAnsi" w:cstheme="minorHAnsi"/>
          <w:iCs/>
          <w:sz w:val="24"/>
          <w:szCs w:val="24"/>
        </w:rPr>
        <w:t>Building No.11, Ministers Compound</w:t>
      </w:r>
    </w:p>
    <w:p w14:paraId="4CFFB3C9" w14:textId="517BC103" w:rsidR="00DB5377" w:rsidRPr="00A50E7C" w:rsidRDefault="001E3E8D" w:rsidP="001E3E8D">
      <w:pPr>
        <w:ind w:left="720" w:firstLine="720"/>
        <w:rPr>
          <w:rFonts w:asciiTheme="minorHAnsi" w:hAnsiTheme="minorHAnsi" w:cstheme="minorHAnsi"/>
          <w:iCs/>
          <w:spacing w:val="-2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Ministers’ street, </w:t>
      </w:r>
      <w:proofErr w:type="spellStart"/>
      <w:r w:rsidR="00617D20" w:rsidRPr="00A50E7C">
        <w:rPr>
          <w:rFonts w:asciiTheme="minorHAnsi" w:hAnsiTheme="minorHAnsi" w:cstheme="minorHAnsi"/>
          <w:iCs/>
          <w:sz w:val="24"/>
          <w:szCs w:val="24"/>
        </w:rPr>
        <w:t>Jadiriya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, Baghdad</w:t>
      </w:r>
    </w:p>
    <w:p w14:paraId="2502BB65" w14:textId="4B37E24E" w:rsidR="00DB5377" w:rsidRPr="00A50E7C" w:rsidDel="00B829E4" w:rsidRDefault="00874409" w:rsidP="00A50E7C">
      <w:pPr>
        <w:ind w:left="720" w:firstLine="72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Tel: +</w:t>
      </w:r>
      <w:r w:rsidR="003407EC" w:rsidRPr="00A50E7C">
        <w:rPr>
          <w:rFonts w:asciiTheme="minorHAnsi" w:hAnsiTheme="minorHAnsi" w:cstheme="minorHAnsi"/>
          <w:iCs/>
          <w:sz w:val="24"/>
          <w:szCs w:val="24"/>
        </w:rPr>
        <w:t xml:space="preserve">964 7826270204 </w:t>
      </w:r>
      <w:r w:rsidR="00B829E4" w:rsidRPr="00A50E7C">
        <w:rPr>
          <w:rFonts w:asciiTheme="minorHAnsi" w:hAnsiTheme="minorHAnsi" w:cstheme="minorHAnsi"/>
          <w:iCs/>
          <w:sz w:val="24"/>
          <w:szCs w:val="24"/>
        </w:rPr>
        <w:t xml:space="preserve">/ </w:t>
      </w:r>
      <w:r>
        <w:rPr>
          <w:rFonts w:asciiTheme="minorHAnsi" w:hAnsiTheme="minorHAnsi" w:cstheme="minorHAnsi"/>
          <w:iCs/>
          <w:sz w:val="24"/>
          <w:szCs w:val="24"/>
        </w:rPr>
        <w:t xml:space="preserve">Email: </w:t>
      </w:r>
      <w:r w:rsidR="003407EC" w:rsidRPr="00A50E7C" w:rsidDel="00B829E4">
        <w:rPr>
          <w:rFonts w:asciiTheme="minorHAnsi" w:hAnsiTheme="minorHAnsi" w:cstheme="minorHAnsi"/>
          <w:iCs/>
          <w:sz w:val="24"/>
          <w:szCs w:val="24"/>
        </w:rPr>
        <w:t>muataz.s.alnaqeeb@gmail.com</w:t>
      </w:r>
      <w:r w:rsidR="00DB5377" w:rsidRPr="00A50E7C" w:rsidDel="00B829E4">
        <w:rPr>
          <w:rFonts w:asciiTheme="minorHAnsi" w:hAnsiTheme="minorHAnsi" w:cstheme="minorHAnsi"/>
          <w:iCs/>
          <w:sz w:val="24"/>
          <w:szCs w:val="24"/>
        </w:rPr>
        <w:tab/>
      </w:r>
    </w:p>
    <w:p w14:paraId="74DBE010" w14:textId="77777777" w:rsidR="00DB5377" w:rsidRPr="00A50E7C" w:rsidRDefault="003407EC" w:rsidP="00A50E7C">
      <w:pPr>
        <w:ind w:left="720" w:firstLine="720"/>
        <w:rPr>
          <w:rFonts w:asciiTheme="minorHAnsi" w:hAnsiTheme="minorHAnsi" w:cstheme="minorHAnsi"/>
          <w:iCs/>
          <w:sz w:val="24"/>
          <w:szCs w:val="24"/>
        </w:rPr>
      </w:pPr>
      <w:r w:rsidRPr="00A50E7C">
        <w:rPr>
          <w:rFonts w:asciiTheme="minorHAnsi" w:hAnsiTheme="minorHAnsi" w:cstheme="minorHAnsi"/>
          <w:iCs/>
          <w:sz w:val="24"/>
          <w:szCs w:val="24"/>
        </w:rPr>
        <w:t>www.refaato.iq</w:t>
      </w:r>
    </w:p>
    <w:p w14:paraId="322FC5DE" w14:textId="77777777" w:rsidR="00DB5377" w:rsidRPr="00A50E7C" w:rsidRDefault="00DB5377" w:rsidP="0065085F">
      <w:pPr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4"/>
          <w:szCs w:val="24"/>
        </w:rPr>
      </w:pPr>
    </w:p>
    <w:sectPr w:rsidR="00DB5377" w:rsidRPr="00A50E7C" w:rsidSect="00A50E7C">
      <w:headerReference w:type="default" r:id="rId13"/>
      <w:endnotePr>
        <w:numFmt w:val="decimal"/>
      </w:endnotePr>
      <w:pgSz w:w="11907" w:h="16839" w:code="9"/>
      <w:pgMar w:top="1104" w:right="1467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C75B5" w14:textId="77777777" w:rsidR="005629D6" w:rsidRDefault="005629D6">
      <w:r>
        <w:separator/>
      </w:r>
    </w:p>
  </w:endnote>
  <w:endnote w:type="continuationSeparator" w:id="0">
    <w:p w14:paraId="05AE2D2A" w14:textId="77777777" w:rsidR="005629D6" w:rsidRDefault="005629D6">
      <w:r>
        <w:rPr>
          <w:sz w:val="24"/>
        </w:rPr>
        <w:t xml:space="preserve"> </w:t>
      </w:r>
    </w:p>
  </w:endnote>
  <w:endnote w:type="continuationNotice" w:id="1">
    <w:p w14:paraId="655B5AD5" w14:textId="77777777" w:rsidR="005629D6" w:rsidRDefault="005629D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2E65A" w14:textId="77777777" w:rsidR="005629D6" w:rsidRDefault="005629D6">
      <w:r>
        <w:rPr>
          <w:sz w:val="24"/>
        </w:rPr>
        <w:separator/>
      </w:r>
    </w:p>
  </w:footnote>
  <w:footnote w:type="continuationSeparator" w:id="0">
    <w:p w14:paraId="6DA2AEEF" w14:textId="77777777" w:rsidR="005629D6" w:rsidRDefault="0056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D01D" w14:textId="54C78D28" w:rsidR="00DF62EB" w:rsidRPr="00DF62EB" w:rsidRDefault="00DF62EB" w:rsidP="00DF62EB">
    <w:pPr>
      <w:pStyle w:val="Heading1a"/>
      <w:keepNext w:val="0"/>
      <w:keepLines w:val="0"/>
      <w:tabs>
        <w:tab w:val="clear" w:pos="-720"/>
      </w:tabs>
      <w:suppressAutoHyphens w:val="0"/>
      <w:jc w:val="right"/>
      <w:rPr>
        <w:bCs/>
        <w:i/>
        <w:iCs/>
        <w:smallCap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4F06"/>
    <w:multiLevelType w:val="hybridMultilevel"/>
    <w:tmpl w:val="AD1E0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1E7"/>
    <w:multiLevelType w:val="hybridMultilevel"/>
    <w:tmpl w:val="3B7A1494"/>
    <w:lvl w:ilvl="0" w:tplc="DE501C5C">
      <w:start w:val="1"/>
      <w:numFmt w:val="lowerRoman"/>
      <w:lvlText w:val="(%1)"/>
      <w:lvlJc w:val="left"/>
      <w:pPr>
        <w:ind w:left="960" w:hanging="360"/>
      </w:pPr>
      <w:rPr>
        <w:rFonts w:ascii="Roboto Light" w:hAnsi="Roboto Light" w:cs="Roboto Light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EB0F34"/>
    <w:multiLevelType w:val="hybridMultilevel"/>
    <w:tmpl w:val="01A6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3D66"/>
    <w:multiLevelType w:val="hybridMultilevel"/>
    <w:tmpl w:val="608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55A8"/>
    <w:multiLevelType w:val="hybridMultilevel"/>
    <w:tmpl w:val="8ACA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33D"/>
    <w:multiLevelType w:val="hybridMultilevel"/>
    <w:tmpl w:val="3B7A1494"/>
    <w:lvl w:ilvl="0" w:tplc="DE501C5C">
      <w:start w:val="1"/>
      <w:numFmt w:val="lowerRoman"/>
      <w:lvlText w:val="(%1)"/>
      <w:lvlJc w:val="left"/>
      <w:pPr>
        <w:ind w:left="960" w:hanging="360"/>
      </w:pPr>
      <w:rPr>
        <w:rFonts w:ascii="Roboto Light" w:hAnsi="Roboto Light" w:cs="Roboto Light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5952B2C"/>
    <w:multiLevelType w:val="hybridMultilevel"/>
    <w:tmpl w:val="5E2E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23316"/>
    <w:rsid w:val="000665D5"/>
    <w:rsid w:val="00073C60"/>
    <w:rsid w:val="000900E4"/>
    <w:rsid w:val="000B6850"/>
    <w:rsid w:val="000C6534"/>
    <w:rsid w:val="000C700F"/>
    <w:rsid w:val="000D6C3A"/>
    <w:rsid w:val="000F1896"/>
    <w:rsid w:val="000F4D9A"/>
    <w:rsid w:val="0010171D"/>
    <w:rsid w:val="001062D2"/>
    <w:rsid w:val="00110300"/>
    <w:rsid w:val="00173833"/>
    <w:rsid w:val="00190C88"/>
    <w:rsid w:val="001923A4"/>
    <w:rsid w:val="001942C9"/>
    <w:rsid w:val="001D1D63"/>
    <w:rsid w:val="001E3E8D"/>
    <w:rsid w:val="001F65C4"/>
    <w:rsid w:val="001F730B"/>
    <w:rsid w:val="002254B5"/>
    <w:rsid w:val="002277FE"/>
    <w:rsid w:val="002C28AC"/>
    <w:rsid w:val="002C5423"/>
    <w:rsid w:val="003407EC"/>
    <w:rsid w:val="00342D48"/>
    <w:rsid w:val="00343FB8"/>
    <w:rsid w:val="00347364"/>
    <w:rsid w:val="00353E1A"/>
    <w:rsid w:val="003818BD"/>
    <w:rsid w:val="00387379"/>
    <w:rsid w:val="003A38C3"/>
    <w:rsid w:val="003C7BC4"/>
    <w:rsid w:val="003D402E"/>
    <w:rsid w:val="003D4BC0"/>
    <w:rsid w:val="00401040"/>
    <w:rsid w:val="004345FD"/>
    <w:rsid w:val="00444F43"/>
    <w:rsid w:val="00456400"/>
    <w:rsid w:val="00457B5D"/>
    <w:rsid w:val="00472074"/>
    <w:rsid w:val="004F51BD"/>
    <w:rsid w:val="004F73A0"/>
    <w:rsid w:val="005130C3"/>
    <w:rsid w:val="00517F8D"/>
    <w:rsid w:val="00522F64"/>
    <w:rsid w:val="00555A25"/>
    <w:rsid w:val="00557532"/>
    <w:rsid w:val="005629D6"/>
    <w:rsid w:val="005A7D73"/>
    <w:rsid w:val="005D6E87"/>
    <w:rsid w:val="005E0060"/>
    <w:rsid w:val="005F1EB3"/>
    <w:rsid w:val="005F40FB"/>
    <w:rsid w:val="005F7664"/>
    <w:rsid w:val="00604B16"/>
    <w:rsid w:val="00617D20"/>
    <w:rsid w:val="006276B8"/>
    <w:rsid w:val="00633BF6"/>
    <w:rsid w:val="0065085F"/>
    <w:rsid w:val="00655E48"/>
    <w:rsid w:val="00656D0C"/>
    <w:rsid w:val="00677A84"/>
    <w:rsid w:val="006B394D"/>
    <w:rsid w:val="006C7915"/>
    <w:rsid w:val="006F0CA9"/>
    <w:rsid w:val="006F7B61"/>
    <w:rsid w:val="00716445"/>
    <w:rsid w:val="007843D7"/>
    <w:rsid w:val="00785304"/>
    <w:rsid w:val="007958F3"/>
    <w:rsid w:val="007A5B29"/>
    <w:rsid w:val="007B6DFA"/>
    <w:rsid w:val="007D23BE"/>
    <w:rsid w:val="007D23F5"/>
    <w:rsid w:val="007D39FE"/>
    <w:rsid w:val="008268E8"/>
    <w:rsid w:val="008405CC"/>
    <w:rsid w:val="008424E6"/>
    <w:rsid w:val="00846B37"/>
    <w:rsid w:val="00874409"/>
    <w:rsid w:val="00885A40"/>
    <w:rsid w:val="009004C7"/>
    <w:rsid w:val="00901960"/>
    <w:rsid w:val="00924F5F"/>
    <w:rsid w:val="00931C6D"/>
    <w:rsid w:val="009444B9"/>
    <w:rsid w:val="00953D35"/>
    <w:rsid w:val="009849DB"/>
    <w:rsid w:val="009865B1"/>
    <w:rsid w:val="009D7166"/>
    <w:rsid w:val="009E4E88"/>
    <w:rsid w:val="009F1F0D"/>
    <w:rsid w:val="00A30AB2"/>
    <w:rsid w:val="00A32221"/>
    <w:rsid w:val="00A50E7C"/>
    <w:rsid w:val="00A54B9D"/>
    <w:rsid w:val="00A63FAE"/>
    <w:rsid w:val="00A83A6F"/>
    <w:rsid w:val="00A903DD"/>
    <w:rsid w:val="00A94FE4"/>
    <w:rsid w:val="00AA305A"/>
    <w:rsid w:val="00AD0A33"/>
    <w:rsid w:val="00AE06E3"/>
    <w:rsid w:val="00B36318"/>
    <w:rsid w:val="00B615A5"/>
    <w:rsid w:val="00B6490A"/>
    <w:rsid w:val="00B71CC4"/>
    <w:rsid w:val="00B76ECE"/>
    <w:rsid w:val="00B829E4"/>
    <w:rsid w:val="00B8669A"/>
    <w:rsid w:val="00BB08DB"/>
    <w:rsid w:val="00BF2B51"/>
    <w:rsid w:val="00C00DF3"/>
    <w:rsid w:val="00C0687D"/>
    <w:rsid w:val="00C12FE6"/>
    <w:rsid w:val="00C82217"/>
    <w:rsid w:val="00CA225E"/>
    <w:rsid w:val="00CF2FD2"/>
    <w:rsid w:val="00D147AE"/>
    <w:rsid w:val="00D15766"/>
    <w:rsid w:val="00D3260E"/>
    <w:rsid w:val="00D40631"/>
    <w:rsid w:val="00D61064"/>
    <w:rsid w:val="00D7652B"/>
    <w:rsid w:val="00D912ED"/>
    <w:rsid w:val="00D9176D"/>
    <w:rsid w:val="00D9727C"/>
    <w:rsid w:val="00DA7BF1"/>
    <w:rsid w:val="00DB471F"/>
    <w:rsid w:val="00DB5377"/>
    <w:rsid w:val="00DB62EA"/>
    <w:rsid w:val="00DB78F4"/>
    <w:rsid w:val="00DB7C94"/>
    <w:rsid w:val="00DF62EB"/>
    <w:rsid w:val="00E11529"/>
    <w:rsid w:val="00E25B81"/>
    <w:rsid w:val="00E327FB"/>
    <w:rsid w:val="00E648DD"/>
    <w:rsid w:val="00E706F3"/>
    <w:rsid w:val="00EA0DC6"/>
    <w:rsid w:val="00EC4BD3"/>
    <w:rsid w:val="00ED1922"/>
    <w:rsid w:val="00F04E66"/>
    <w:rsid w:val="00F623EB"/>
    <w:rsid w:val="00F705CC"/>
    <w:rsid w:val="00FB5BE9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A240A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List Paragraph2,Text,Bullets,References,lp1,سرد الفقرات,List Paragraph nowy,Use Case List Paragraph,sub-procedure,Paragraphe  revu,L_4,Paragraphe de liste4,- List tir,liste 1,puce 1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List Paragraph2 Char,Text Char,Bullets Char,References Char,lp1 Char,سرد الفقرات Char,List Paragraph nowy Char,Use Case List Paragraph Char,sub-procedure Char,L_4 Char"/>
    <w:basedOn w:val="DefaultParagraphFont"/>
    <w:link w:val="ListParagraph"/>
    <w:uiPriority w:val="34"/>
    <w:qFormat/>
    <w:rsid w:val="009865B1"/>
    <w:rPr>
      <w:rFonts w:asciiTheme="minorHAnsi" w:eastAsiaTheme="minorEastAsia" w:hAnsiTheme="minorHAnsi" w:cstheme="minorBidi"/>
      <w:lang w:val="en-GB"/>
    </w:rPr>
  </w:style>
  <w:style w:type="character" w:styleId="CommentReference">
    <w:name w:val="annotation reference"/>
    <w:basedOn w:val="DefaultParagraphFont"/>
    <w:semiHidden/>
    <w:unhideWhenUsed/>
    <w:rsid w:val="004F73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73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73A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7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73A0"/>
    <w:rPr>
      <w:rFonts w:ascii="CG Times" w:hAnsi="CG Times"/>
      <w:b/>
      <w:bCs/>
    </w:rPr>
  </w:style>
  <w:style w:type="paragraph" w:customStyle="1" w:styleId="Default">
    <w:name w:val="Default"/>
    <w:rsid w:val="004F73A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A305A"/>
    <w:rPr>
      <w:rFonts w:eastAsiaTheme="minorEastAsia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A33"/>
    <w:rPr>
      <w:color w:val="605E5C"/>
      <w:shd w:val="clear" w:color="auto" w:fill="E1DFDD"/>
    </w:rPr>
  </w:style>
  <w:style w:type="table" w:styleId="TableGrid">
    <w:name w:val="Table Grid"/>
    <w:basedOn w:val="TableNormal"/>
    <w:rsid w:val="0065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uata\Downloads\ReFAATO&#8217;s%20websi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db.org/irj/portal/anonymous?NavigationTarget=navurl://76e1dfd61777849cc88228c9bfe818e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29DEBB799B142A6E0CEFAE4C7269E" ma:contentTypeVersion="14" ma:contentTypeDescription="Create a new document." ma:contentTypeScope="" ma:versionID="98557c4aee9c085735da8108d39d2811">
  <xsd:schema xmlns:xsd="http://www.w3.org/2001/XMLSchema" xmlns:xs="http://www.w3.org/2001/XMLSchema" xmlns:p="http://schemas.microsoft.com/office/2006/metadata/properties" xmlns:ns3="c373037f-d068-4008-b35d-e17f92927879" xmlns:ns4="cbfed8e3-e869-4f5b-a837-c48acfecf652" targetNamespace="http://schemas.microsoft.com/office/2006/metadata/properties" ma:root="true" ma:fieldsID="8f5cdc02a412be0c5d88cb5be207b557" ns3:_="" ns4:_="">
    <xsd:import namespace="c373037f-d068-4008-b35d-e17f92927879"/>
    <xsd:import namespace="cbfed8e3-e869-4f5b-a837-c48acfecf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037f-d068-4008-b35d-e17f9292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d8e3-e869-4f5b-a837-c48acfecf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7C79E-4B3B-4AE3-A6C9-400A97041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5AC09-0F82-4947-93FD-1DAEE678C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93FD7-8EE5-4313-BCD8-E84B44230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7131C-6EE2-476A-916D-F19B719E6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037f-d068-4008-b35d-e17f92927879"/>
    <ds:schemaRef ds:uri="cbfed8e3-e869-4f5b-a837-c48acfecf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GPN</vt:lpstr>
    </vt:vector>
  </TitlesOfParts>
  <Company>The World Bank</Company>
  <LinksUpToDate>false</LinksUpToDate>
  <CharactersWithSpaces>3331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Tahseen Ali</cp:lastModifiedBy>
  <cp:revision>2</cp:revision>
  <cp:lastPrinted>2009-03-05T06:40:00Z</cp:lastPrinted>
  <dcterms:created xsi:type="dcterms:W3CDTF">2021-11-21T07:08:00Z</dcterms:created>
  <dcterms:modified xsi:type="dcterms:W3CDTF">2021-11-21T07:08:00Z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0x010100B7129DEBB799B142A6E0CEFAE4C7269E</vt:lpwstr>
  </property>
</Properties>
</file>