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284" w:tblpY="1279"/>
        <w:tblW w:w="10295" w:type="dxa"/>
        <w:tblLayout w:type="fixed"/>
        <w:tblCellMar>
          <w:left w:w="70" w:type="dxa"/>
          <w:right w:w="70" w:type="dxa"/>
        </w:tblCellMar>
        <w:tblLook w:val="0000" w:firstRow="0" w:lastRow="0" w:firstColumn="0" w:lastColumn="0" w:noHBand="0" w:noVBand="0"/>
      </w:tblPr>
      <w:tblGrid>
        <w:gridCol w:w="4406"/>
        <w:gridCol w:w="2487"/>
        <w:gridCol w:w="3402"/>
      </w:tblGrid>
      <w:tr w:rsidR="00DC79D8" w:rsidRPr="00DC79D8" w14:paraId="23BAD589" w14:textId="77777777" w:rsidTr="00A42FBA">
        <w:trPr>
          <w:trHeight w:val="2835"/>
        </w:trPr>
        <w:tc>
          <w:tcPr>
            <w:tcW w:w="4406" w:type="dxa"/>
          </w:tcPr>
          <w:p w14:paraId="16D3428A" w14:textId="52B85AA9" w:rsidR="00DC79D8" w:rsidRPr="00DC79D8" w:rsidRDefault="00DC79D8" w:rsidP="00A42FBA">
            <w:pPr>
              <w:spacing w:after="0" w:line="240" w:lineRule="auto"/>
              <w:rPr>
                <w:rFonts w:ascii="Calibri" w:eastAsia="Calibri" w:hAnsi="Calibri" w:cs="Times New Roman"/>
                <w:b/>
                <w:sz w:val="25"/>
                <w:szCs w:val="23"/>
              </w:rPr>
            </w:pPr>
            <w:bookmarkStart w:id="0" w:name="_GoBack"/>
            <w:bookmarkEnd w:id="0"/>
            <w:r w:rsidRPr="00DC79D8">
              <w:rPr>
                <w:rFonts w:ascii="Calibri" w:eastAsia="Calibri" w:hAnsi="Calibri" w:cs="Times New Roman"/>
                <w:sz w:val="25"/>
                <w:szCs w:val="23"/>
              </w:rPr>
              <w:br w:type="page"/>
            </w:r>
            <w:r w:rsidRPr="00A04A0E">
              <w:rPr>
                <w:rFonts w:ascii="Times New Roman" w:eastAsia="Times New Roman" w:hAnsi="Times New Roman" w:cs="Times New Roman"/>
                <w:sz w:val="24"/>
                <w:szCs w:val="24"/>
                <w:lang w:eastAsia="fr-FR"/>
              </w:rPr>
              <w:t xml:space="preserve"> MINISTERE DE L’ENSEIGNEMENT </w:t>
            </w:r>
            <w:r w:rsidRPr="00DC79D8">
              <w:rPr>
                <w:rFonts w:ascii="Times New Roman" w:eastAsia="Times New Roman" w:hAnsi="Times New Roman" w:cs="Times New Roman"/>
                <w:sz w:val="24"/>
                <w:szCs w:val="24"/>
                <w:lang w:eastAsia="fr-FR"/>
              </w:rPr>
              <w:t>SUPERIEUR ET DE LA RECHERCHE</w:t>
            </w:r>
          </w:p>
          <w:p w14:paraId="41AC54A4" w14:textId="7A357A0C" w:rsidR="00DC79D8" w:rsidRPr="00DC79D8" w:rsidRDefault="00DC79D8" w:rsidP="00A42FBA">
            <w:pPr>
              <w:spacing w:after="0" w:line="240" w:lineRule="auto"/>
              <w:rPr>
                <w:rFonts w:ascii="Calibri" w:eastAsia="Calibri" w:hAnsi="Calibri" w:cs="Times New Roman"/>
                <w:b/>
                <w:sz w:val="25"/>
                <w:szCs w:val="23"/>
              </w:rPr>
            </w:pPr>
            <w:r>
              <w:rPr>
                <w:rFonts w:ascii="Calibri" w:eastAsia="Calibri" w:hAnsi="Calibri" w:cs="Times New Roman"/>
                <w:b/>
                <w:sz w:val="25"/>
                <w:szCs w:val="23"/>
              </w:rPr>
              <w:t xml:space="preserve">            </w:t>
            </w:r>
            <w:r w:rsidRPr="00DC79D8">
              <w:rPr>
                <w:rFonts w:ascii="Calibri" w:eastAsia="Calibri" w:hAnsi="Calibri" w:cs="Times New Roman"/>
                <w:b/>
                <w:sz w:val="25"/>
                <w:szCs w:val="23"/>
              </w:rPr>
              <w:t>-------------------------</w:t>
            </w:r>
          </w:p>
          <w:p w14:paraId="0B37ED60" w14:textId="645E2178" w:rsidR="00DC79D8" w:rsidRPr="00DC79D8" w:rsidRDefault="00DC79D8" w:rsidP="00A42FBA">
            <w:pPr>
              <w:spacing w:after="0" w:line="240" w:lineRule="auto"/>
              <w:rPr>
                <w:rFonts w:ascii="Calibri" w:eastAsia="Calibri" w:hAnsi="Calibri" w:cs="Times New Roman"/>
                <w:b/>
                <w:sz w:val="25"/>
                <w:szCs w:val="23"/>
              </w:rPr>
            </w:pPr>
            <w:r>
              <w:rPr>
                <w:rFonts w:ascii="Calibri" w:eastAsia="Calibri" w:hAnsi="Calibri" w:cs="Times New Roman"/>
                <w:b/>
                <w:sz w:val="25"/>
                <w:szCs w:val="23"/>
              </w:rPr>
              <w:t xml:space="preserve">                    </w:t>
            </w:r>
            <w:r w:rsidRPr="00DC79D8">
              <w:rPr>
                <w:rFonts w:ascii="Times New Roman" w:eastAsia="Times New Roman" w:hAnsi="Times New Roman" w:cs="Times New Roman"/>
                <w:sz w:val="24"/>
                <w:szCs w:val="24"/>
                <w:lang w:eastAsia="fr-FR"/>
              </w:rPr>
              <w:t>CABINET</w:t>
            </w:r>
          </w:p>
          <w:p w14:paraId="7B9A2E86" w14:textId="45FAB2B9" w:rsidR="00DC79D8" w:rsidRPr="00DC79D8" w:rsidRDefault="00DC79D8" w:rsidP="00A42FBA">
            <w:pPr>
              <w:spacing w:after="0" w:line="240" w:lineRule="auto"/>
              <w:rPr>
                <w:rFonts w:ascii="Calibri" w:eastAsia="Calibri" w:hAnsi="Calibri" w:cs="Times New Roman"/>
                <w:b/>
                <w:sz w:val="25"/>
                <w:szCs w:val="16"/>
              </w:rPr>
            </w:pPr>
            <w:r>
              <w:rPr>
                <w:rFonts w:ascii="Calibri" w:eastAsia="Calibri" w:hAnsi="Calibri" w:cs="Times New Roman"/>
                <w:b/>
                <w:sz w:val="25"/>
                <w:szCs w:val="16"/>
              </w:rPr>
              <w:t xml:space="preserve">                   </w:t>
            </w:r>
            <w:r w:rsidRPr="00DC79D8">
              <w:rPr>
                <w:rFonts w:ascii="Calibri" w:eastAsia="Calibri" w:hAnsi="Calibri" w:cs="Times New Roman"/>
                <w:b/>
                <w:sz w:val="25"/>
                <w:szCs w:val="16"/>
              </w:rPr>
              <w:t>-------------</w:t>
            </w:r>
          </w:p>
          <w:p w14:paraId="084B07B8" w14:textId="16B5696F" w:rsidR="00A42FBA" w:rsidRDefault="00A42FBA" w:rsidP="00A42FBA">
            <w:pPr>
              <w:spacing w:after="0" w:line="240" w:lineRule="auto"/>
              <w:rPr>
                <w:rFonts w:ascii="Times New Roman" w:eastAsia="Calibri" w:hAnsi="Times New Roman" w:cs="Times New Roman"/>
                <w:b/>
                <w:sz w:val="24"/>
                <w:szCs w:val="24"/>
              </w:rPr>
            </w:pPr>
            <w:r w:rsidRPr="00A42FBA">
              <w:rPr>
                <w:rFonts w:ascii="Times New Roman" w:eastAsia="Calibri" w:hAnsi="Times New Roman" w:cs="Times New Roman"/>
                <w:b/>
                <w:sz w:val="24"/>
                <w:szCs w:val="24"/>
              </w:rPr>
              <w:t xml:space="preserve">Projet d’Appui à la mise en œuvre de la Réforme de l’Enseignement supérieur en Sciences et Ingénieries </w:t>
            </w:r>
          </w:p>
          <w:p w14:paraId="74230188" w14:textId="225BDE09" w:rsidR="00A42FBA" w:rsidRPr="00A42FBA" w:rsidRDefault="00A42FBA" w:rsidP="00A42FB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42FBA">
              <w:rPr>
                <w:rFonts w:ascii="Times New Roman" w:eastAsia="Calibri" w:hAnsi="Times New Roman" w:cs="Times New Roman"/>
                <w:b/>
                <w:sz w:val="24"/>
                <w:szCs w:val="24"/>
              </w:rPr>
              <w:t xml:space="preserve">(PARESI) </w:t>
            </w:r>
          </w:p>
          <w:p w14:paraId="3FDF5602" w14:textId="5A903505" w:rsidR="00DC79D8" w:rsidRPr="00DC79D8" w:rsidRDefault="00A42FBA" w:rsidP="00A42FBA">
            <w:pPr>
              <w:spacing w:after="0" w:line="240" w:lineRule="auto"/>
              <w:rPr>
                <w:rFonts w:ascii="Calibri" w:eastAsia="Calibri" w:hAnsi="Calibri" w:cs="Times New Roman"/>
                <w:b/>
                <w:sz w:val="23"/>
              </w:rPr>
            </w:pPr>
            <w:r w:rsidRPr="00DC79D8">
              <w:rPr>
                <w:rFonts w:ascii="Calibri" w:eastAsia="Calibri" w:hAnsi="Calibri" w:cs="Times New Roman"/>
                <w:noProof/>
                <w:sz w:val="56"/>
                <w:szCs w:val="56"/>
                <w:lang w:eastAsia="fr-FR"/>
              </w:rPr>
              <w:drawing>
                <wp:anchor distT="0" distB="0" distL="114300" distR="114300" simplePos="0" relativeHeight="251658240" behindDoc="0" locked="0" layoutInCell="1" allowOverlap="1" wp14:anchorId="1B0FAA96" wp14:editId="5BFD324F">
                  <wp:simplePos x="0" y="0"/>
                  <wp:positionH relativeFrom="column">
                    <wp:posOffset>98425</wp:posOffset>
                  </wp:positionH>
                  <wp:positionV relativeFrom="paragraph">
                    <wp:posOffset>360045</wp:posOffset>
                  </wp:positionV>
                  <wp:extent cx="2038350" cy="657225"/>
                  <wp:effectExtent l="0" t="0" r="0" b="9525"/>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noFill/>
                          <a:ln>
                            <a:noFill/>
                          </a:ln>
                        </pic:spPr>
                      </pic:pic>
                    </a:graphicData>
                  </a:graphic>
                </wp:anchor>
              </w:drawing>
            </w:r>
          </w:p>
        </w:tc>
        <w:tc>
          <w:tcPr>
            <w:tcW w:w="2487" w:type="dxa"/>
          </w:tcPr>
          <w:p w14:paraId="75F3538E" w14:textId="77777777" w:rsidR="00DC79D8" w:rsidRPr="00DC79D8" w:rsidRDefault="00DC79D8" w:rsidP="00A42FBA">
            <w:pPr>
              <w:spacing w:after="0" w:line="240" w:lineRule="auto"/>
              <w:rPr>
                <w:rFonts w:ascii="Calibri" w:eastAsia="Calibri" w:hAnsi="Calibri" w:cs="Times New Roman"/>
                <w:bCs/>
                <w:sz w:val="25"/>
                <w:szCs w:val="23"/>
              </w:rPr>
            </w:pPr>
          </w:p>
          <w:p w14:paraId="12D95DB5" w14:textId="77777777" w:rsidR="00DC79D8" w:rsidRPr="00DC79D8" w:rsidRDefault="00DC79D8" w:rsidP="00A42FBA">
            <w:pPr>
              <w:spacing w:after="0" w:line="240" w:lineRule="auto"/>
              <w:rPr>
                <w:rFonts w:ascii="Calibri" w:eastAsia="Calibri" w:hAnsi="Calibri" w:cs="Times New Roman"/>
                <w:sz w:val="25"/>
                <w:szCs w:val="23"/>
              </w:rPr>
            </w:pPr>
          </w:p>
          <w:p w14:paraId="37ECAA9E" w14:textId="77777777" w:rsidR="00DC79D8" w:rsidRPr="00DC79D8" w:rsidRDefault="00DC79D8" w:rsidP="00A42FBA">
            <w:pPr>
              <w:spacing w:after="0" w:line="240" w:lineRule="auto"/>
              <w:rPr>
                <w:rFonts w:ascii="Calibri" w:eastAsia="Calibri" w:hAnsi="Calibri" w:cs="Times New Roman"/>
                <w:sz w:val="25"/>
                <w:szCs w:val="23"/>
              </w:rPr>
            </w:pPr>
          </w:p>
          <w:p w14:paraId="0D5A3C47" w14:textId="77777777" w:rsidR="00DC79D8" w:rsidRPr="00DC79D8" w:rsidRDefault="00DC79D8" w:rsidP="00A42FBA">
            <w:pPr>
              <w:spacing w:after="0" w:line="240" w:lineRule="auto"/>
              <w:rPr>
                <w:rFonts w:ascii="Calibri" w:eastAsia="Calibri" w:hAnsi="Calibri" w:cs="Times New Roman"/>
                <w:sz w:val="25"/>
                <w:szCs w:val="23"/>
              </w:rPr>
            </w:pPr>
          </w:p>
          <w:p w14:paraId="59C73134" w14:textId="44EA550D" w:rsidR="00DC79D8" w:rsidRPr="00DC79D8" w:rsidRDefault="00DC79D8" w:rsidP="00A42FBA">
            <w:pPr>
              <w:spacing w:after="0" w:line="240" w:lineRule="auto"/>
              <w:rPr>
                <w:rFonts w:ascii="Calibri" w:eastAsia="Calibri" w:hAnsi="Calibri" w:cs="Times New Roman"/>
                <w:sz w:val="25"/>
                <w:szCs w:val="23"/>
              </w:rPr>
            </w:pPr>
          </w:p>
          <w:p w14:paraId="49B787AF" w14:textId="77777777" w:rsidR="00DC79D8" w:rsidRPr="00DC79D8" w:rsidRDefault="00DC79D8" w:rsidP="00A42FBA">
            <w:pPr>
              <w:spacing w:after="0" w:line="240" w:lineRule="auto"/>
              <w:rPr>
                <w:rFonts w:ascii="Calibri" w:eastAsia="Calibri" w:hAnsi="Calibri" w:cs="Times New Roman"/>
                <w:sz w:val="25"/>
                <w:szCs w:val="23"/>
              </w:rPr>
            </w:pPr>
          </w:p>
          <w:p w14:paraId="20DD1EB7" w14:textId="77777777" w:rsidR="00DC79D8" w:rsidRPr="00DC79D8" w:rsidRDefault="00DC79D8" w:rsidP="00A42FBA">
            <w:pPr>
              <w:spacing w:after="0" w:line="240" w:lineRule="auto"/>
              <w:rPr>
                <w:rFonts w:ascii="Calibri" w:eastAsia="Calibri" w:hAnsi="Calibri" w:cs="Times New Roman"/>
                <w:sz w:val="25"/>
                <w:szCs w:val="23"/>
              </w:rPr>
            </w:pPr>
          </w:p>
          <w:p w14:paraId="5DF019A9" w14:textId="77777777" w:rsidR="00DC79D8" w:rsidRPr="00DC79D8" w:rsidRDefault="00DC79D8" w:rsidP="00A42FBA">
            <w:pPr>
              <w:spacing w:after="0" w:line="240" w:lineRule="auto"/>
              <w:rPr>
                <w:rFonts w:ascii="Calibri" w:eastAsia="Calibri" w:hAnsi="Calibri" w:cs="Times New Roman"/>
                <w:sz w:val="25"/>
                <w:szCs w:val="23"/>
              </w:rPr>
            </w:pPr>
          </w:p>
          <w:p w14:paraId="5F1557A9" w14:textId="77777777" w:rsidR="00DC79D8" w:rsidRPr="00DC79D8" w:rsidRDefault="00DC79D8" w:rsidP="00A42FBA">
            <w:pPr>
              <w:spacing w:after="0" w:line="240" w:lineRule="auto"/>
              <w:rPr>
                <w:rFonts w:ascii="Calibri" w:eastAsia="Calibri" w:hAnsi="Calibri" w:cs="Times New Roman"/>
                <w:sz w:val="25"/>
                <w:szCs w:val="23"/>
              </w:rPr>
            </w:pPr>
          </w:p>
        </w:tc>
        <w:tc>
          <w:tcPr>
            <w:tcW w:w="3402" w:type="dxa"/>
          </w:tcPr>
          <w:p w14:paraId="78DA26B6" w14:textId="7BF71394" w:rsidR="00DC79D8" w:rsidRPr="00DC79D8" w:rsidRDefault="00DC79D8" w:rsidP="00A42FBA">
            <w:pPr>
              <w:spacing w:after="0" w:line="240" w:lineRule="auto"/>
              <w:jc w:val="center"/>
              <w:rPr>
                <w:rFonts w:ascii="Calibri" w:eastAsia="Calibri" w:hAnsi="Calibri" w:cs="Times New Roman"/>
                <w:i/>
                <w:iCs/>
                <w:sz w:val="25"/>
                <w:szCs w:val="28"/>
              </w:rPr>
            </w:pPr>
            <w:r w:rsidRPr="00A04A0E">
              <w:rPr>
                <w:rFonts w:ascii="Times New Roman" w:eastAsia="Times New Roman" w:hAnsi="Times New Roman" w:cs="Times New Roman"/>
                <w:sz w:val="24"/>
                <w:szCs w:val="24"/>
                <w:lang w:eastAsia="fr-FR"/>
              </w:rPr>
              <w:t>REPUBLIQUE TOGOLAISE</w:t>
            </w:r>
            <w:r w:rsidRPr="00DC79D8">
              <w:rPr>
                <w:rFonts w:ascii="Calibri" w:eastAsia="Calibri" w:hAnsi="Calibri" w:cs="Times New Roman"/>
                <w:i/>
                <w:iCs/>
                <w:sz w:val="25"/>
                <w:szCs w:val="28"/>
              </w:rPr>
              <w:t xml:space="preserve"> </w:t>
            </w:r>
            <w:r w:rsidRPr="00A04A0E">
              <w:rPr>
                <w:rFonts w:ascii="Times New Roman" w:eastAsia="Times New Roman" w:hAnsi="Times New Roman" w:cs="Times New Roman"/>
                <w:sz w:val="24"/>
                <w:szCs w:val="24"/>
                <w:lang w:eastAsia="fr-FR"/>
              </w:rPr>
              <w:t xml:space="preserve"> Travail-Liberté-Patrie</w:t>
            </w:r>
          </w:p>
          <w:p w14:paraId="640C00C3" w14:textId="77777777" w:rsidR="00DC79D8" w:rsidRPr="00DC79D8" w:rsidRDefault="00DC79D8" w:rsidP="00A42FBA">
            <w:pPr>
              <w:spacing w:after="0" w:line="240" w:lineRule="auto"/>
              <w:rPr>
                <w:rFonts w:ascii="Calibri" w:eastAsia="Calibri" w:hAnsi="Calibri" w:cs="Times New Roman"/>
                <w:i/>
                <w:iCs/>
                <w:sz w:val="25"/>
                <w:szCs w:val="23"/>
              </w:rPr>
            </w:pPr>
          </w:p>
          <w:p w14:paraId="040C9C64" w14:textId="77777777" w:rsidR="00DC79D8" w:rsidRDefault="00DC79D8" w:rsidP="00A42FBA">
            <w:pPr>
              <w:spacing w:after="0" w:line="240" w:lineRule="auto"/>
              <w:rPr>
                <w:rFonts w:ascii="Calibri" w:eastAsia="Calibri" w:hAnsi="Calibri" w:cs="Times New Roman"/>
                <w:bCs/>
                <w:sz w:val="25"/>
                <w:szCs w:val="23"/>
              </w:rPr>
            </w:pPr>
          </w:p>
          <w:p w14:paraId="71AE3AD9" w14:textId="77777777" w:rsidR="00DD26F0" w:rsidRPr="00DD26F0" w:rsidRDefault="00DD26F0" w:rsidP="00DD26F0">
            <w:pPr>
              <w:rPr>
                <w:rFonts w:ascii="Calibri" w:eastAsia="Calibri" w:hAnsi="Calibri" w:cs="Times New Roman"/>
                <w:sz w:val="25"/>
                <w:szCs w:val="23"/>
              </w:rPr>
            </w:pPr>
          </w:p>
          <w:p w14:paraId="65AAFDBD" w14:textId="77777777" w:rsidR="00DD26F0" w:rsidRPr="00DD26F0" w:rsidRDefault="00DD26F0" w:rsidP="00DD26F0">
            <w:pPr>
              <w:rPr>
                <w:rFonts w:ascii="Calibri" w:eastAsia="Calibri" w:hAnsi="Calibri" w:cs="Times New Roman"/>
                <w:sz w:val="25"/>
                <w:szCs w:val="23"/>
              </w:rPr>
            </w:pPr>
          </w:p>
          <w:p w14:paraId="14A8D597" w14:textId="77777777" w:rsidR="00DD26F0" w:rsidRDefault="00DD26F0" w:rsidP="00DD26F0">
            <w:pPr>
              <w:rPr>
                <w:rFonts w:ascii="Calibri" w:eastAsia="Calibri" w:hAnsi="Calibri" w:cs="Times New Roman"/>
                <w:bCs/>
                <w:sz w:val="25"/>
                <w:szCs w:val="23"/>
              </w:rPr>
            </w:pPr>
          </w:p>
          <w:p w14:paraId="3B86215E" w14:textId="23B8F81F" w:rsidR="00DD26F0" w:rsidRPr="00DD26F0" w:rsidRDefault="00DD26F0" w:rsidP="00DD26F0">
            <w:pPr>
              <w:jc w:val="center"/>
              <w:rPr>
                <w:rFonts w:ascii="Calibri" w:eastAsia="Calibri" w:hAnsi="Calibri" w:cs="Times New Roman"/>
                <w:sz w:val="25"/>
                <w:szCs w:val="23"/>
              </w:rPr>
            </w:pPr>
            <w:r w:rsidRPr="00DD26F0">
              <w:rPr>
                <w:rFonts w:ascii="Calibri" w:eastAsia="Calibri" w:hAnsi="Calibri" w:cs="Times New Roman"/>
              </w:rPr>
              <w:object w:dxaOrig="2682" w:dyaOrig="3591" w14:anchorId="42AFA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87.75pt" o:ole="">
                  <v:imagedata r:id="rId8" o:title=""/>
                </v:shape>
                <o:OLEObject Type="Embed" ProgID="CorelDRAW.Graphic.13" ShapeID="_x0000_i1025" DrawAspect="Content" ObjectID="_1715553260" r:id="rId9"/>
              </w:object>
            </w:r>
          </w:p>
        </w:tc>
      </w:tr>
    </w:tbl>
    <w:p w14:paraId="3A327514" w14:textId="77777777" w:rsidR="00DC79D8" w:rsidRPr="00DD26F0" w:rsidRDefault="00DC79D8" w:rsidP="00DD26F0">
      <w:pPr>
        <w:jc w:val="center"/>
        <w:rPr>
          <w:rFonts w:ascii="Times New Roman" w:eastAsia="Calibri" w:hAnsi="Times New Roman" w:cs="Times New Roman"/>
          <w:b/>
          <w:bCs/>
          <w:smallCaps/>
          <w:sz w:val="40"/>
          <w:szCs w:val="40"/>
        </w:rPr>
      </w:pPr>
      <w:r w:rsidRPr="00DD26F0">
        <w:rPr>
          <w:rFonts w:ascii="Times New Roman" w:eastAsia="Calibri" w:hAnsi="Times New Roman" w:cs="Times New Roman"/>
          <w:b/>
          <w:bCs/>
          <w:smallCaps/>
          <w:sz w:val="40"/>
          <w:szCs w:val="40"/>
        </w:rPr>
        <w:t>AVIS GENERAL DE PASSATION DES MARCHES (AGPM)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4"/>
        <w:gridCol w:w="6373"/>
      </w:tblGrid>
      <w:tr w:rsidR="000D4E1C" w14:paraId="2C1A651C" w14:textId="77777777" w:rsidTr="00715148">
        <w:trPr>
          <w:trHeight w:val="363"/>
        </w:trPr>
        <w:tc>
          <w:tcPr>
            <w:tcW w:w="2689" w:type="dxa"/>
            <w:vAlign w:val="center"/>
          </w:tcPr>
          <w:p w14:paraId="0C9D8C8E" w14:textId="19B69352"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Pays</w:t>
            </w:r>
          </w:p>
        </w:tc>
        <w:tc>
          <w:tcPr>
            <w:tcW w:w="283" w:type="dxa"/>
            <w:vAlign w:val="center"/>
          </w:tcPr>
          <w:p w14:paraId="49CFA3CA" w14:textId="0994EB0C" w:rsidR="000D4E1C" w:rsidRDefault="000D4E1C" w:rsidP="0063129A">
            <w:pPr>
              <w:suppressAutoHyphens/>
              <w:jc w:val="center"/>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w:t>
            </w:r>
          </w:p>
        </w:tc>
        <w:tc>
          <w:tcPr>
            <w:tcW w:w="6374" w:type="dxa"/>
            <w:vAlign w:val="center"/>
          </w:tcPr>
          <w:p w14:paraId="1325CC46" w14:textId="55FF71C4" w:rsidR="000D4E1C" w:rsidRDefault="000D4E1C" w:rsidP="0063129A">
            <w:pPr>
              <w:suppressAutoHyphens/>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Togo</w:t>
            </w:r>
          </w:p>
        </w:tc>
      </w:tr>
      <w:tr w:rsidR="000D4E1C" w14:paraId="2B472DA0" w14:textId="77777777" w:rsidTr="00715148">
        <w:trPr>
          <w:trHeight w:val="636"/>
        </w:trPr>
        <w:tc>
          <w:tcPr>
            <w:tcW w:w="2689" w:type="dxa"/>
            <w:vAlign w:val="center"/>
          </w:tcPr>
          <w:p w14:paraId="0BA5A82F" w14:textId="35848105"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Dénomination du Projet</w:t>
            </w:r>
          </w:p>
        </w:tc>
        <w:tc>
          <w:tcPr>
            <w:tcW w:w="283" w:type="dxa"/>
            <w:vAlign w:val="center"/>
          </w:tcPr>
          <w:p w14:paraId="3A871399" w14:textId="0A83E0E6" w:rsidR="000D4E1C" w:rsidRDefault="000D4E1C" w:rsidP="0063129A">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6D31D1B6" w14:textId="7727CE89" w:rsidR="000D4E1C" w:rsidRDefault="000D4E1C" w:rsidP="0063129A">
            <w:pPr>
              <w:suppressAutoHyphens/>
              <w:rPr>
                <w:rFonts w:ascii="Times New Roman" w:eastAsia="Calibri" w:hAnsi="Times New Roman" w:cs="Times New Roman"/>
                <w:b/>
                <w:bCs/>
                <w:spacing w:val="-2"/>
                <w:sz w:val="24"/>
                <w:szCs w:val="24"/>
              </w:rPr>
            </w:pPr>
            <w:r w:rsidRPr="0048043C">
              <w:rPr>
                <w:rFonts w:ascii="Times New Roman" w:eastAsia="Calibri" w:hAnsi="Times New Roman" w:cs="Times New Roman"/>
                <w:bCs/>
                <w:spacing w:val="-2"/>
                <w:sz w:val="24"/>
                <w:szCs w:val="24"/>
              </w:rPr>
              <w:t>Projet d’Appui à la mise en œuvre de la Réforme de l’Enseignement supérieur en Sciences et Ingénieries (PARESI)</w:t>
            </w:r>
          </w:p>
        </w:tc>
      </w:tr>
      <w:tr w:rsidR="000D4E1C" w14:paraId="66DDE6AE" w14:textId="77777777" w:rsidTr="00715148">
        <w:trPr>
          <w:trHeight w:val="772"/>
        </w:trPr>
        <w:tc>
          <w:tcPr>
            <w:tcW w:w="2689" w:type="dxa"/>
            <w:vAlign w:val="center"/>
          </w:tcPr>
          <w:p w14:paraId="64AE2C5D" w14:textId="21DA0579"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Bailleurs de Fonds</w:t>
            </w:r>
          </w:p>
        </w:tc>
        <w:tc>
          <w:tcPr>
            <w:tcW w:w="283" w:type="dxa"/>
            <w:vAlign w:val="center"/>
          </w:tcPr>
          <w:p w14:paraId="205C5B2D" w14:textId="005780B2" w:rsidR="000D4E1C" w:rsidRDefault="000D4E1C" w:rsidP="0063129A">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08E8D271" w14:textId="5D243EBC"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Cs/>
                <w:spacing w:val="-2"/>
                <w:sz w:val="24"/>
                <w:szCs w:val="24"/>
              </w:rPr>
              <w:t>Banque</w:t>
            </w:r>
            <w:r w:rsidRPr="00DC79D8">
              <w:rPr>
                <w:rFonts w:ascii="Times New Roman" w:eastAsia="Calibri" w:hAnsi="Times New Roman" w:cs="Times New Roman"/>
                <w:b/>
                <w:bCs/>
                <w:spacing w:val="-2"/>
                <w:sz w:val="24"/>
                <w:szCs w:val="24"/>
              </w:rPr>
              <w:t xml:space="preserve"> </w:t>
            </w:r>
            <w:r w:rsidRPr="00DC79D8">
              <w:rPr>
                <w:rFonts w:ascii="Times New Roman" w:eastAsia="Calibri" w:hAnsi="Times New Roman" w:cs="Times New Roman"/>
                <w:spacing w:val="-2"/>
                <w:sz w:val="24"/>
                <w:szCs w:val="24"/>
              </w:rPr>
              <w:t>Islamique de Développement (BID)</w:t>
            </w:r>
            <w:r>
              <w:rPr>
                <w:rFonts w:ascii="Times New Roman" w:eastAsia="Calibri" w:hAnsi="Times New Roman" w:cs="Times New Roman"/>
                <w:spacing w:val="-2"/>
                <w:sz w:val="24"/>
                <w:szCs w:val="24"/>
              </w:rPr>
              <w:t xml:space="preserve"> </w:t>
            </w:r>
            <w:r w:rsidRPr="00DC79D8">
              <w:rPr>
                <w:rFonts w:ascii="Times New Roman" w:eastAsia="Calibri" w:hAnsi="Times New Roman" w:cs="Times New Roman"/>
                <w:spacing w:val="-2"/>
                <w:sz w:val="24"/>
                <w:szCs w:val="24"/>
              </w:rPr>
              <w:t xml:space="preserve">et Gouvernement du </w:t>
            </w:r>
            <w:r>
              <w:rPr>
                <w:rFonts w:ascii="Times New Roman" w:eastAsia="Calibri" w:hAnsi="Times New Roman" w:cs="Times New Roman"/>
                <w:spacing w:val="-2"/>
                <w:sz w:val="24"/>
                <w:szCs w:val="24"/>
              </w:rPr>
              <w:t>Togo</w:t>
            </w:r>
          </w:p>
        </w:tc>
      </w:tr>
      <w:tr w:rsidR="000D4E1C" w14:paraId="7F50E26B" w14:textId="77777777" w:rsidTr="00715148">
        <w:trPr>
          <w:trHeight w:val="510"/>
        </w:trPr>
        <w:tc>
          <w:tcPr>
            <w:tcW w:w="2689" w:type="dxa"/>
            <w:vAlign w:val="center"/>
          </w:tcPr>
          <w:p w14:paraId="69E792CD" w14:textId="6DAAF84B"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Secteur</w:t>
            </w:r>
          </w:p>
        </w:tc>
        <w:tc>
          <w:tcPr>
            <w:tcW w:w="283" w:type="dxa"/>
            <w:vAlign w:val="center"/>
          </w:tcPr>
          <w:p w14:paraId="53C88CE3" w14:textId="37F0D56D" w:rsidR="000D4E1C" w:rsidRDefault="000D4E1C" w:rsidP="0063129A">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73F7AA65" w14:textId="3B81A6DA" w:rsidR="000D4E1C" w:rsidRDefault="000D4E1C" w:rsidP="0063129A">
            <w:pPr>
              <w:suppressAutoHyphens/>
              <w:rPr>
                <w:rFonts w:ascii="Times New Roman" w:eastAsia="Calibri" w:hAnsi="Times New Roman" w:cs="Times New Roman"/>
                <w:b/>
                <w:bCs/>
                <w:spacing w:val="-2"/>
                <w:sz w:val="24"/>
                <w:szCs w:val="24"/>
              </w:rPr>
            </w:pPr>
            <w:r>
              <w:rPr>
                <w:rFonts w:ascii="Times New Roman" w:eastAsia="Calibri" w:hAnsi="Times New Roman" w:cs="Times New Roman"/>
                <w:bCs/>
                <w:spacing w:val="-2"/>
                <w:sz w:val="24"/>
                <w:szCs w:val="24"/>
              </w:rPr>
              <w:t>Education (</w:t>
            </w:r>
            <w:r>
              <w:rPr>
                <w:rFonts w:ascii="Times New Roman" w:eastAsia="Calibri" w:hAnsi="Times New Roman" w:cs="Times New Roman"/>
                <w:sz w:val="24"/>
                <w:szCs w:val="24"/>
              </w:rPr>
              <w:t>Enseignement supérieur)</w:t>
            </w:r>
          </w:p>
        </w:tc>
      </w:tr>
      <w:tr w:rsidR="000D4E1C" w14:paraId="5A0CF908" w14:textId="77777777" w:rsidTr="00715148">
        <w:trPr>
          <w:trHeight w:val="722"/>
        </w:trPr>
        <w:tc>
          <w:tcPr>
            <w:tcW w:w="2689" w:type="dxa"/>
            <w:vAlign w:val="center"/>
          </w:tcPr>
          <w:p w14:paraId="5D0B1B48" w14:textId="2F54EFEC"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sz w:val="24"/>
                <w:szCs w:val="24"/>
              </w:rPr>
              <w:t>Mode de financement</w:t>
            </w:r>
          </w:p>
        </w:tc>
        <w:tc>
          <w:tcPr>
            <w:tcW w:w="283" w:type="dxa"/>
            <w:vAlign w:val="center"/>
          </w:tcPr>
          <w:p w14:paraId="3F156F48" w14:textId="2D38893F" w:rsidR="000D4E1C" w:rsidRDefault="000D4E1C" w:rsidP="0063129A">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0E226F1A" w14:textId="752DB2B4" w:rsidR="000D4E1C" w:rsidRDefault="000D4E1C" w:rsidP="0063129A">
            <w:pPr>
              <w:suppressAutoHyphens/>
              <w:rPr>
                <w:rFonts w:ascii="Times New Roman" w:eastAsia="Calibri" w:hAnsi="Times New Roman" w:cs="Times New Roman"/>
                <w:b/>
                <w:bCs/>
                <w:spacing w:val="-2"/>
                <w:sz w:val="24"/>
                <w:szCs w:val="24"/>
              </w:rPr>
            </w:pPr>
            <w:r w:rsidRPr="00D171C2">
              <w:rPr>
                <w:rFonts w:ascii="Times New Roman" w:eastAsia="Calibri" w:hAnsi="Times New Roman" w:cs="Times New Roman"/>
                <w:sz w:val="24"/>
                <w:szCs w:val="24"/>
              </w:rPr>
              <w:t xml:space="preserve">Financement mixte : </w:t>
            </w:r>
            <w:r w:rsidRPr="00223EEB">
              <w:rPr>
                <w:rFonts w:ascii="Times New Roman" w:eastAsia="Calibri" w:hAnsi="Times New Roman" w:cs="Times New Roman"/>
                <w:sz w:val="24"/>
                <w:szCs w:val="24"/>
              </w:rPr>
              <w:t>56%</w:t>
            </w:r>
            <w:r w:rsidRPr="00D171C2">
              <w:rPr>
                <w:rFonts w:ascii="Times New Roman" w:eastAsia="Calibri" w:hAnsi="Times New Roman" w:cs="Times New Roman"/>
                <w:sz w:val="24"/>
                <w:szCs w:val="24"/>
              </w:rPr>
              <w:t xml:space="preserve"> de la BID et </w:t>
            </w:r>
            <w:r w:rsidRPr="00223EEB">
              <w:rPr>
                <w:rFonts w:ascii="Times New Roman" w:eastAsia="Calibri" w:hAnsi="Times New Roman" w:cs="Times New Roman"/>
                <w:sz w:val="24"/>
                <w:szCs w:val="24"/>
              </w:rPr>
              <w:t>44%</w:t>
            </w:r>
            <w:r w:rsidRPr="00D171C2">
              <w:rPr>
                <w:rFonts w:ascii="Times New Roman" w:eastAsia="Calibri" w:hAnsi="Times New Roman" w:cs="Times New Roman"/>
                <w:sz w:val="24"/>
                <w:szCs w:val="24"/>
              </w:rPr>
              <w:t xml:space="preserve"> </w:t>
            </w:r>
            <w:r>
              <w:rPr>
                <w:rFonts w:ascii="Times New Roman" w:eastAsia="Calibri" w:hAnsi="Times New Roman" w:cs="Times New Roman"/>
                <w:sz w:val="24"/>
                <w:szCs w:val="24"/>
              </w:rPr>
              <w:t>du gouvernement du Togo.</w:t>
            </w:r>
          </w:p>
        </w:tc>
      </w:tr>
      <w:tr w:rsidR="000D4E1C" w14:paraId="756D0AB1" w14:textId="77777777" w:rsidTr="00715148">
        <w:trPr>
          <w:trHeight w:val="420"/>
        </w:trPr>
        <w:tc>
          <w:tcPr>
            <w:tcW w:w="2689" w:type="dxa"/>
            <w:vAlign w:val="center"/>
          </w:tcPr>
          <w:p w14:paraId="3EBA97C6" w14:textId="4DCDA7FA" w:rsidR="000D4E1C" w:rsidRDefault="000D4E1C" w:rsidP="0063129A">
            <w:pPr>
              <w:suppressAutoHyphens/>
              <w:rPr>
                <w:rFonts w:ascii="Times New Roman" w:eastAsia="Calibri" w:hAnsi="Times New Roman" w:cs="Times New Roman"/>
                <w:b/>
                <w:bCs/>
                <w:spacing w:val="-2"/>
                <w:sz w:val="24"/>
                <w:szCs w:val="24"/>
              </w:rPr>
            </w:pPr>
            <w:r w:rsidRPr="00DC79D8">
              <w:rPr>
                <w:rFonts w:ascii="Times New Roman" w:eastAsia="Times New Roman" w:hAnsi="Times New Roman" w:cs="Times New Roman"/>
                <w:b/>
                <w:bCs/>
                <w:spacing w:val="-2"/>
                <w:sz w:val="24"/>
                <w:szCs w:val="24"/>
              </w:rPr>
              <w:t>Projet N°</w:t>
            </w:r>
          </w:p>
        </w:tc>
        <w:tc>
          <w:tcPr>
            <w:tcW w:w="283" w:type="dxa"/>
            <w:vAlign w:val="center"/>
          </w:tcPr>
          <w:p w14:paraId="1DC5C8B6" w14:textId="6CF60529" w:rsidR="000D4E1C" w:rsidRDefault="000D4E1C" w:rsidP="0063129A">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175D680A" w14:textId="4E5D4E9C" w:rsidR="000D4E1C" w:rsidRDefault="0063129A" w:rsidP="0063129A">
            <w:pPr>
              <w:suppressAutoHyphens/>
              <w:rPr>
                <w:rFonts w:ascii="Times New Roman" w:eastAsia="Calibri" w:hAnsi="Times New Roman" w:cs="Times New Roman"/>
                <w:b/>
                <w:bCs/>
                <w:spacing w:val="-2"/>
                <w:sz w:val="24"/>
                <w:szCs w:val="24"/>
              </w:rPr>
            </w:pPr>
            <w:bookmarkStart w:id="1" w:name="_Hlk100393801"/>
            <w:r>
              <w:rPr>
                <w:rFonts w:ascii="Times New Roman" w:eastAsia="Times New Roman" w:hAnsi="Times New Roman" w:cs="Times New Roman"/>
                <w:bCs/>
                <w:spacing w:val="-2"/>
                <w:sz w:val="24"/>
                <w:szCs w:val="24"/>
              </w:rPr>
              <w:t>2-</w:t>
            </w:r>
            <w:r w:rsidR="000D4E1C">
              <w:rPr>
                <w:rFonts w:ascii="Times New Roman" w:eastAsia="Times New Roman" w:hAnsi="Times New Roman" w:cs="Times New Roman"/>
                <w:bCs/>
                <w:spacing w:val="-2"/>
                <w:sz w:val="24"/>
                <w:szCs w:val="24"/>
              </w:rPr>
              <w:t>TGO</w:t>
            </w:r>
            <w:r>
              <w:rPr>
                <w:rFonts w:ascii="Times New Roman" w:eastAsia="Times New Roman" w:hAnsi="Times New Roman" w:cs="Times New Roman"/>
                <w:bCs/>
                <w:spacing w:val="-2"/>
                <w:sz w:val="24"/>
                <w:szCs w:val="24"/>
              </w:rPr>
              <w:t>-</w:t>
            </w:r>
            <w:r w:rsidR="000D4E1C">
              <w:rPr>
                <w:rFonts w:ascii="Times New Roman" w:eastAsia="Times New Roman" w:hAnsi="Times New Roman" w:cs="Times New Roman"/>
                <w:bCs/>
                <w:spacing w:val="-2"/>
                <w:sz w:val="24"/>
                <w:szCs w:val="24"/>
              </w:rPr>
              <w:t>1008</w:t>
            </w:r>
            <w:bookmarkEnd w:id="1"/>
          </w:p>
        </w:tc>
      </w:tr>
    </w:tbl>
    <w:p w14:paraId="471A9A3A" w14:textId="77777777" w:rsidR="000D4E1C" w:rsidRDefault="000D4E1C" w:rsidP="00DC79D8">
      <w:pPr>
        <w:suppressAutoHyphens/>
        <w:spacing w:after="0"/>
        <w:jc w:val="both"/>
        <w:rPr>
          <w:rFonts w:ascii="Times New Roman" w:eastAsia="Calibri" w:hAnsi="Times New Roman" w:cs="Times New Roman"/>
          <w:b/>
          <w:bCs/>
          <w:spacing w:val="-2"/>
          <w:sz w:val="24"/>
          <w:szCs w:val="24"/>
        </w:rPr>
      </w:pPr>
    </w:p>
    <w:p w14:paraId="7FF1A0E2" w14:textId="77777777" w:rsidR="000D4E1C" w:rsidRDefault="000D4E1C" w:rsidP="00DC79D8">
      <w:pPr>
        <w:suppressAutoHyphens/>
        <w:spacing w:after="0"/>
        <w:jc w:val="both"/>
        <w:rPr>
          <w:rFonts w:ascii="Times New Roman" w:eastAsia="Calibri" w:hAnsi="Times New Roman" w:cs="Times New Roman"/>
          <w:b/>
          <w:bCs/>
          <w:spacing w:val="-2"/>
          <w:sz w:val="24"/>
          <w:szCs w:val="24"/>
        </w:rPr>
      </w:pPr>
    </w:p>
    <w:p w14:paraId="65495E9C" w14:textId="05EC3F5F" w:rsidR="00DC79D8" w:rsidRPr="00DC79D8" w:rsidRDefault="00DC79D8" w:rsidP="00DC79D8">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 xml:space="preserve">Le Gouvernement du </w:t>
      </w:r>
      <w:r w:rsidR="00B70FAC">
        <w:rPr>
          <w:rFonts w:ascii="Times New Roman" w:eastAsia="Calibri" w:hAnsi="Times New Roman" w:cs="Times New Roman"/>
          <w:color w:val="000000"/>
          <w:sz w:val="24"/>
          <w:szCs w:val="24"/>
        </w:rPr>
        <w:t>Togo</w:t>
      </w:r>
      <w:r w:rsidRPr="00DC79D8">
        <w:rPr>
          <w:rFonts w:ascii="Times New Roman" w:eastAsia="Calibri" w:hAnsi="Times New Roman" w:cs="Times New Roman"/>
          <w:color w:val="000000"/>
          <w:sz w:val="24"/>
          <w:szCs w:val="24"/>
        </w:rPr>
        <w:t xml:space="preserve"> a obtenu un financement d’un montant </w:t>
      </w:r>
      <w:r w:rsidRPr="00FF7A00">
        <w:rPr>
          <w:rFonts w:ascii="Times New Roman" w:eastAsia="Calibri" w:hAnsi="Times New Roman" w:cs="Times New Roman"/>
          <w:color w:val="000000"/>
          <w:sz w:val="24"/>
          <w:szCs w:val="24"/>
        </w:rPr>
        <w:t xml:space="preserve">de </w:t>
      </w:r>
      <w:r w:rsidR="00CC2E36" w:rsidRPr="00FF7A00">
        <w:rPr>
          <w:rFonts w:ascii="Times New Roman" w:eastAsia="Calibri" w:hAnsi="Times New Roman" w:cs="Times New Roman"/>
          <w:color w:val="000000"/>
          <w:sz w:val="24"/>
          <w:szCs w:val="24"/>
        </w:rPr>
        <w:t>neuf</w:t>
      </w:r>
      <w:r w:rsidRPr="00FF7A00">
        <w:rPr>
          <w:rFonts w:ascii="Times New Roman" w:eastAsia="Calibri" w:hAnsi="Times New Roman" w:cs="Times New Roman"/>
          <w:color w:val="000000"/>
          <w:sz w:val="24"/>
          <w:szCs w:val="24"/>
        </w:rPr>
        <w:t xml:space="preserve"> millions </w:t>
      </w:r>
      <w:r w:rsidR="00CC2E36" w:rsidRPr="00FF7A00">
        <w:rPr>
          <w:rFonts w:ascii="Times New Roman" w:eastAsia="Calibri" w:hAnsi="Times New Roman" w:cs="Times New Roman"/>
          <w:color w:val="000000"/>
          <w:sz w:val="24"/>
          <w:szCs w:val="24"/>
        </w:rPr>
        <w:t>quatre-vingt-dix</w:t>
      </w:r>
      <w:r w:rsidRPr="00FF7A00">
        <w:rPr>
          <w:rFonts w:ascii="Times New Roman" w:eastAsia="Calibri" w:hAnsi="Times New Roman" w:cs="Times New Roman"/>
          <w:color w:val="000000"/>
          <w:sz w:val="24"/>
          <w:szCs w:val="24"/>
        </w:rPr>
        <w:t xml:space="preserve"> mille (</w:t>
      </w:r>
      <w:r w:rsidR="00CC2E36" w:rsidRPr="00FF7A00">
        <w:rPr>
          <w:rFonts w:ascii="Times New Roman" w:eastAsia="Calibri" w:hAnsi="Times New Roman" w:cs="Times New Roman"/>
          <w:color w:val="000000"/>
          <w:sz w:val="24"/>
          <w:szCs w:val="24"/>
        </w:rPr>
        <w:t>9 09</w:t>
      </w:r>
      <w:r w:rsidRPr="00FF7A00">
        <w:rPr>
          <w:rFonts w:ascii="Times New Roman" w:eastAsia="Calibri" w:hAnsi="Times New Roman" w:cs="Times New Roman"/>
          <w:color w:val="000000"/>
          <w:sz w:val="24"/>
          <w:szCs w:val="24"/>
        </w:rPr>
        <w:t xml:space="preserve">0.000) </w:t>
      </w:r>
      <w:r w:rsidR="00CC2E36" w:rsidRPr="00FF7A00">
        <w:rPr>
          <w:rFonts w:ascii="Times New Roman" w:eastAsia="Calibri" w:hAnsi="Times New Roman" w:cs="Times New Roman"/>
          <w:color w:val="000000"/>
          <w:sz w:val="24"/>
          <w:szCs w:val="24"/>
        </w:rPr>
        <w:t>Euros</w:t>
      </w:r>
      <w:r w:rsidRPr="00DC79D8">
        <w:rPr>
          <w:rFonts w:ascii="Times New Roman" w:eastAsia="Calibri" w:hAnsi="Times New Roman" w:cs="Times New Roman"/>
          <w:color w:val="000000"/>
          <w:sz w:val="24"/>
          <w:szCs w:val="24"/>
        </w:rPr>
        <w:t xml:space="preserve"> sous la forme d’un </w:t>
      </w:r>
      <w:r w:rsidR="00FF7A00">
        <w:rPr>
          <w:rFonts w:ascii="Times New Roman" w:eastAsia="Calibri" w:hAnsi="Times New Roman" w:cs="Times New Roman"/>
          <w:color w:val="000000"/>
          <w:sz w:val="24"/>
          <w:szCs w:val="24"/>
        </w:rPr>
        <w:t>prêt</w:t>
      </w:r>
      <w:r w:rsidRPr="00DC79D8">
        <w:rPr>
          <w:rFonts w:ascii="Times New Roman" w:eastAsia="Calibri" w:hAnsi="Times New Roman" w:cs="Times New Roman"/>
          <w:color w:val="000000"/>
          <w:sz w:val="24"/>
          <w:szCs w:val="24"/>
        </w:rPr>
        <w:t xml:space="preserve"> de la Banque Islamique de Développement (BID) pour financer </w:t>
      </w:r>
      <w:r w:rsidR="00B70FAC">
        <w:rPr>
          <w:rFonts w:ascii="Times New Roman" w:eastAsia="Calibri" w:hAnsi="Times New Roman" w:cs="Times New Roman"/>
          <w:color w:val="000000"/>
          <w:sz w:val="24"/>
          <w:szCs w:val="24"/>
        </w:rPr>
        <w:t xml:space="preserve">le </w:t>
      </w:r>
      <w:r w:rsidR="00B70FAC" w:rsidRPr="0048043C">
        <w:rPr>
          <w:rFonts w:ascii="Times New Roman" w:eastAsia="Calibri" w:hAnsi="Times New Roman" w:cs="Times New Roman"/>
          <w:bCs/>
          <w:spacing w:val="-2"/>
          <w:sz w:val="24"/>
          <w:szCs w:val="24"/>
        </w:rPr>
        <w:t>Projet d’Appui à la mise en œuvre de la Réforme de l’Enseignement supérieur en Sciences et Ingénieries (PARESI)</w:t>
      </w:r>
      <w:r w:rsidR="00B70FAC" w:rsidRPr="00DC79D8">
        <w:rPr>
          <w:rFonts w:ascii="Times New Roman" w:eastAsia="Calibri" w:hAnsi="Times New Roman" w:cs="Times New Roman"/>
          <w:bCs/>
          <w:spacing w:val="-2"/>
          <w:sz w:val="24"/>
          <w:szCs w:val="24"/>
        </w:rPr>
        <w:t xml:space="preserve"> </w:t>
      </w:r>
      <w:r w:rsidRPr="00DC79D8">
        <w:rPr>
          <w:rFonts w:ascii="Times New Roman" w:eastAsia="Calibri" w:hAnsi="Times New Roman" w:cs="Times New Roman"/>
          <w:color w:val="000000"/>
          <w:sz w:val="24"/>
          <w:szCs w:val="24"/>
        </w:rPr>
        <w:t>et à l’intention d’utiliser une partie de ce financement pour effectuer des paiements pour l’acquisition de biens</w:t>
      </w:r>
      <w:r w:rsidR="00B70FAC">
        <w:rPr>
          <w:rFonts w:ascii="Times New Roman" w:eastAsia="Calibri" w:hAnsi="Times New Roman" w:cs="Times New Roman"/>
          <w:color w:val="000000"/>
          <w:sz w:val="24"/>
          <w:szCs w:val="24"/>
        </w:rPr>
        <w:t xml:space="preserve"> </w:t>
      </w:r>
      <w:r w:rsidRPr="00DC79D8">
        <w:rPr>
          <w:rFonts w:ascii="Times New Roman" w:eastAsia="Calibri" w:hAnsi="Times New Roman" w:cs="Times New Roman"/>
          <w:color w:val="000000"/>
          <w:sz w:val="24"/>
          <w:szCs w:val="24"/>
        </w:rPr>
        <w:t>et de services de consultants nécessaires dans le cadre de ce projet.</w:t>
      </w:r>
    </w:p>
    <w:p w14:paraId="4ABF7B1C" w14:textId="6063CBEA" w:rsidR="00DC79D8" w:rsidRPr="00DC79D8" w:rsidRDefault="00DC79D8" w:rsidP="00DC79D8">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 xml:space="preserve">Ce projet sera financé conjointement par la BID et le Gouvernement du </w:t>
      </w:r>
      <w:r w:rsidR="00B70FAC">
        <w:rPr>
          <w:rFonts w:ascii="Times New Roman" w:eastAsia="Calibri" w:hAnsi="Times New Roman" w:cs="Times New Roman"/>
          <w:color w:val="000000"/>
          <w:sz w:val="24"/>
          <w:szCs w:val="24"/>
        </w:rPr>
        <w:t>Togo</w:t>
      </w:r>
      <w:r w:rsidRPr="00DC79D8">
        <w:rPr>
          <w:rFonts w:ascii="Times New Roman" w:eastAsia="Calibri" w:hAnsi="Times New Roman" w:cs="Times New Roman"/>
          <w:color w:val="000000"/>
          <w:sz w:val="24"/>
          <w:szCs w:val="24"/>
        </w:rPr>
        <w:t>.</w:t>
      </w:r>
    </w:p>
    <w:p w14:paraId="1B96BF89" w14:textId="783E9F42" w:rsidR="00212E18" w:rsidRDefault="00DC79D8" w:rsidP="00DC79D8">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Le projet</w:t>
      </w:r>
      <w:r w:rsidR="002434D6">
        <w:rPr>
          <w:rFonts w:ascii="Times New Roman" w:eastAsia="Calibri" w:hAnsi="Times New Roman" w:cs="Times New Roman"/>
          <w:color w:val="000000"/>
          <w:sz w:val="24"/>
          <w:szCs w:val="24"/>
        </w:rPr>
        <w:t xml:space="preserve"> </w:t>
      </w:r>
      <w:r w:rsidR="00212E18">
        <w:rPr>
          <w:rFonts w:ascii="Times New Roman" w:eastAsia="Calibri" w:hAnsi="Times New Roman" w:cs="Times New Roman"/>
          <w:color w:val="000000"/>
          <w:sz w:val="24"/>
          <w:szCs w:val="24"/>
        </w:rPr>
        <w:t xml:space="preserve">vise à </w:t>
      </w:r>
      <w:r w:rsidR="00FF7A00" w:rsidRPr="00FF7A00">
        <w:rPr>
          <w:rFonts w:ascii="Times New Roman" w:eastAsia="Calibri" w:hAnsi="Times New Roman" w:cs="Times New Roman"/>
          <w:color w:val="000000"/>
          <w:sz w:val="24"/>
          <w:szCs w:val="24"/>
        </w:rPr>
        <w:t>contribuer à l’atteinte de l’objectif global du plan stratégique de développement de l’enseignement supérieur à savoir former des ressources humaines qualifiées qui répondent à la demande du marché du travail et de l'économie du Togo</w:t>
      </w:r>
    </w:p>
    <w:p w14:paraId="2CC35BF2" w14:textId="5F971294" w:rsidR="00DC79D8" w:rsidRPr="00237989" w:rsidRDefault="00DC79D8" w:rsidP="00DC79D8">
      <w:pPr>
        <w:shd w:val="clear" w:color="auto" w:fill="FFFFFF"/>
        <w:jc w:val="both"/>
        <w:rPr>
          <w:rFonts w:ascii="Times New Roman" w:eastAsia="Calibri" w:hAnsi="Times New Roman" w:cs="Times New Roman"/>
          <w:color w:val="000000"/>
          <w:sz w:val="24"/>
          <w:szCs w:val="24"/>
        </w:rPr>
      </w:pPr>
      <w:r w:rsidRPr="00237989">
        <w:rPr>
          <w:rFonts w:ascii="Times New Roman" w:eastAsia="Calibri" w:hAnsi="Times New Roman" w:cs="Times New Roman"/>
          <w:color w:val="000000"/>
          <w:sz w:val="24"/>
          <w:szCs w:val="24"/>
        </w:rPr>
        <w:t xml:space="preserve">Le projet s’exécutera sur </w:t>
      </w:r>
      <w:r w:rsidR="00237989" w:rsidRPr="00237989">
        <w:rPr>
          <w:rFonts w:ascii="Times New Roman" w:eastAsia="Calibri" w:hAnsi="Times New Roman" w:cs="Times New Roman"/>
          <w:color w:val="000000"/>
          <w:sz w:val="24"/>
          <w:szCs w:val="24"/>
        </w:rPr>
        <w:t>quatre</w:t>
      </w:r>
      <w:r w:rsidRPr="00237989">
        <w:rPr>
          <w:rFonts w:ascii="Times New Roman" w:eastAsia="Calibri" w:hAnsi="Times New Roman" w:cs="Times New Roman"/>
          <w:color w:val="000000"/>
          <w:sz w:val="24"/>
          <w:szCs w:val="24"/>
        </w:rPr>
        <w:t xml:space="preserve"> (0</w:t>
      </w:r>
      <w:r w:rsidR="00237989" w:rsidRPr="00237989">
        <w:rPr>
          <w:rFonts w:ascii="Times New Roman" w:eastAsia="Calibri" w:hAnsi="Times New Roman" w:cs="Times New Roman"/>
          <w:color w:val="000000"/>
          <w:sz w:val="24"/>
          <w:szCs w:val="24"/>
        </w:rPr>
        <w:t>4</w:t>
      </w:r>
      <w:r w:rsidRPr="00237989">
        <w:rPr>
          <w:rFonts w:ascii="Times New Roman" w:eastAsia="Calibri" w:hAnsi="Times New Roman" w:cs="Times New Roman"/>
          <w:color w:val="000000"/>
          <w:sz w:val="24"/>
          <w:szCs w:val="24"/>
        </w:rPr>
        <w:t xml:space="preserve">) ans, et comporte </w:t>
      </w:r>
      <w:r w:rsidR="00FF7A00">
        <w:rPr>
          <w:rFonts w:ascii="Times New Roman" w:eastAsia="Calibri" w:hAnsi="Times New Roman" w:cs="Times New Roman"/>
          <w:color w:val="000000"/>
          <w:sz w:val="24"/>
          <w:szCs w:val="24"/>
        </w:rPr>
        <w:t xml:space="preserve">plusieurs </w:t>
      </w:r>
      <w:r w:rsidRPr="00237989">
        <w:rPr>
          <w:rFonts w:ascii="Times New Roman" w:eastAsia="Calibri" w:hAnsi="Times New Roman" w:cs="Times New Roman"/>
          <w:color w:val="000000"/>
          <w:sz w:val="24"/>
          <w:szCs w:val="24"/>
        </w:rPr>
        <w:t xml:space="preserve">activités reparties dans </w:t>
      </w:r>
      <w:r w:rsidR="00237989" w:rsidRPr="00237989">
        <w:rPr>
          <w:rFonts w:ascii="Times New Roman" w:eastAsia="Calibri" w:hAnsi="Times New Roman" w:cs="Times New Roman"/>
          <w:color w:val="000000"/>
          <w:sz w:val="24"/>
          <w:szCs w:val="24"/>
        </w:rPr>
        <w:t>trois</w:t>
      </w:r>
      <w:r w:rsidRPr="00237989">
        <w:rPr>
          <w:rFonts w:ascii="Times New Roman" w:eastAsia="Calibri" w:hAnsi="Times New Roman" w:cs="Times New Roman"/>
          <w:color w:val="000000"/>
          <w:sz w:val="24"/>
          <w:szCs w:val="24"/>
        </w:rPr>
        <w:t xml:space="preserve"> (0</w:t>
      </w:r>
      <w:r w:rsidR="00237989" w:rsidRPr="00237989">
        <w:rPr>
          <w:rFonts w:ascii="Times New Roman" w:eastAsia="Calibri" w:hAnsi="Times New Roman" w:cs="Times New Roman"/>
          <w:color w:val="000000"/>
          <w:sz w:val="24"/>
          <w:szCs w:val="24"/>
        </w:rPr>
        <w:t>3</w:t>
      </w:r>
      <w:r w:rsidRPr="00237989">
        <w:rPr>
          <w:rFonts w:ascii="Times New Roman" w:eastAsia="Calibri" w:hAnsi="Times New Roman" w:cs="Times New Roman"/>
          <w:color w:val="000000"/>
          <w:sz w:val="24"/>
          <w:szCs w:val="24"/>
        </w:rPr>
        <w:t>) composantes et articulées par catégories de dépenses comme suit :</w:t>
      </w:r>
    </w:p>
    <w:p w14:paraId="5DAB30B9" w14:textId="09A0F1C7" w:rsidR="00DC79D8" w:rsidRPr="002A2FD5" w:rsidRDefault="00DC79D8" w:rsidP="00DC79D8">
      <w:pPr>
        <w:shd w:val="clear" w:color="auto" w:fill="FFFFFF"/>
        <w:jc w:val="both"/>
        <w:rPr>
          <w:rFonts w:ascii="Times New Roman" w:eastAsia="Calibri" w:hAnsi="Times New Roman" w:cs="Times New Roman"/>
          <w:color w:val="000000"/>
          <w:sz w:val="24"/>
          <w:szCs w:val="24"/>
        </w:rPr>
      </w:pPr>
      <w:r w:rsidRPr="002A2FD5">
        <w:rPr>
          <w:rFonts w:ascii="Times New Roman" w:eastAsia="Calibri" w:hAnsi="Times New Roman" w:cs="Times New Roman"/>
          <w:b/>
          <w:i/>
          <w:color w:val="000000"/>
          <w:sz w:val="24"/>
          <w:szCs w:val="24"/>
        </w:rPr>
        <w:lastRenderedPageBreak/>
        <w:t>Composantes</w:t>
      </w:r>
      <w:r w:rsidRPr="002A2FD5">
        <w:rPr>
          <w:rFonts w:ascii="Times New Roman" w:eastAsia="Calibri" w:hAnsi="Times New Roman" w:cs="Times New Roman"/>
          <w:color w:val="000000"/>
          <w:sz w:val="24"/>
          <w:szCs w:val="24"/>
        </w:rPr>
        <w:t> :</w:t>
      </w:r>
    </w:p>
    <w:p w14:paraId="0B7912EF" w14:textId="62083DD2" w:rsidR="00DC79D8" w:rsidRPr="002A2FD5" w:rsidRDefault="002A2FD5" w:rsidP="00DC79D8">
      <w:pPr>
        <w:numPr>
          <w:ilvl w:val="0"/>
          <w:numId w:val="3"/>
        </w:numPr>
        <w:shd w:val="clear" w:color="auto" w:fill="FFFFFF"/>
        <w:spacing w:after="0"/>
        <w:jc w:val="both"/>
        <w:rPr>
          <w:rFonts w:ascii="Times New Roman" w:eastAsia="Calibri" w:hAnsi="Times New Roman" w:cs="Times New Roman"/>
          <w:color w:val="000000"/>
          <w:sz w:val="24"/>
          <w:szCs w:val="24"/>
        </w:rPr>
      </w:pPr>
      <w:r w:rsidRPr="002A2FD5">
        <w:rPr>
          <w:rFonts w:ascii="Times New Roman" w:eastAsia="Calibri" w:hAnsi="Times New Roman" w:cs="Times New Roman"/>
          <w:color w:val="000000"/>
          <w:sz w:val="24"/>
          <w:szCs w:val="24"/>
        </w:rPr>
        <w:t>Mise en place des infrastructures et d’équipement</w:t>
      </w:r>
      <w:r w:rsidR="00DC79D8" w:rsidRPr="002A2FD5">
        <w:rPr>
          <w:rFonts w:ascii="Times New Roman" w:eastAsia="Calibri" w:hAnsi="Times New Roman" w:cs="Times New Roman"/>
          <w:color w:val="000000"/>
          <w:sz w:val="24"/>
          <w:szCs w:val="24"/>
        </w:rPr>
        <w:t> ;</w:t>
      </w:r>
    </w:p>
    <w:p w14:paraId="3ED8199D" w14:textId="3357251C" w:rsidR="00DC79D8" w:rsidRPr="002A2FD5" w:rsidRDefault="002A2FD5" w:rsidP="00DC79D8">
      <w:pPr>
        <w:numPr>
          <w:ilvl w:val="0"/>
          <w:numId w:val="3"/>
        </w:numPr>
        <w:shd w:val="clear" w:color="auto" w:fill="FFFFFF"/>
        <w:spacing w:after="0"/>
        <w:jc w:val="both"/>
        <w:rPr>
          <w:rFonts w:ascii="Times New Roman" w:eastAsia="Calibri" w:hAnsi="Times New Roman" w:cs="Times New Roman"/>
          <w:color w:val="000000"/>
          <w:sz w:val="24"/>
          <w:szCs w:val="24"/>
        </w:rPr>
      </w:pPr>
      <w:r w:rsidRPr="002A2FD5">
        <w:rPr>
          <w:rFonts w:ascii="Times New Roman" w:eastAsia="Calibri" w:hAnsi="Times New Roman" w:cs="Times New Roman"/>
          <w:color w:val="000000"/>
          <w:sz w:val="24"/>
          <w:szCs w:val="24"/>
        </w:rPr>
        <w:t>Amélioration de la Compétitivité et de la Pertinence de l’Enseignement Supérieur et</w:t>
      </w:r>
    </w:p>
    <w:p w14:paraId="035B7E1F" w14:textId="4ECE1A55" w:rsidR="00DC79D8" w:rsidRPr="002A2FD5" w:rsidRDefault="002A2FD5" w:rsidP="00DC79D8">
      <w:pPr>
        <w:numPr>
          <w:ilvl w:val="0"/>
          <w:numId w:val="3"/>
        </w:numPr>
        <w:shd w:val="clear" w:color="auto" w:fill="FFFFFF"/>
        <w:spacing w:after="0"/>
        <w:jc w:val="both"/>
        <w:rPr>
          <w:rFonts w:ascii="Times New Roman" w:eastAsia="Calibri" w:hAnsi="Times New Roman" w:cs="Times New Roman"/>
          <w:color w:val="000000"/>
          <w:sz w:val="24"/>
          <w:szCs w:val="24"/>
        </w:rPr>
      </w:pPr>
      <w:r w:rsidRPr="002A2FD5">
        <w:rPr>
          <w:rFonts w:ascii="Times New Roman" w:eastAsia="Calibri" w:hAnsi="Times New Roman" w:cs="Times New Roman"/>
          <w:color w:val="000000"/>
          <w:sz w:val="24"/>
          <w:szCs w:val="24"/>
        </w:rPr>
        <w:t>Appui à la gestion du projet.</w:t>
      </w:r>
    </w:p>
    <w:p w14:paraId="1BF46796" w14:textId="77777777" w:rsidR="002A2FD5" w:rsidRPr="00715148" w:rsidRDefault="002A2FD5" w:rsidP="00DC79D8">
      <w:pPr>
        <w:shd w:val="clear" w:color="auto" w:fill="FFFFFF"/>
        <w:jc w:val="both"/>
        <w:rPr>
          <w:rFonts w:ascii="Times New Roman" w:eastAsia="Calibri" w:hAnsi="Times New Roman" w:cs="Times New Roman"/>
          <w:color w:val="000000"/>
          <w:sz w:val="12"/>
          <w:szCs w:val="12"/>
        </w:rPr>
      </w:pPr>
    </w:p>
    <w:p w14:paraId="2F89352A" w14:textId="0EC4189B" w:rsidR="00DC79D8" w:rsidRPr="00DC79D8" w:rsidRDefault="00DC79D8" w:rsidP="00DC79D8">
      <w:pPr>
        <w:shd w:val="clear" w:color="auto" w:fill="FFFFFF"/>
        <w:jc w:val="both"/>
        <w:rPr>
          <w:rFonts w:ascii="Times New Roman" w:eastAsia="Calibri" w:hAnsi="Times New Roman" w:cs="Times New Roman"/>
          <w:color w:val="000000"/>
          <w:sz w:val="24"/>
          <w:szCs w:val="24"/>
        </w:rPr>
      </w:pPr>
      <w:r w:rsidRPr="00DC79D8">
        <w:rPr>
          <w:rFonts w:ascii="Times New Roman" w:eastAsia="Calibri" w:hAnsi="Times New Roman" w:cs="Times New Roman"/>
          <w:b/>
          <w:i/>
          <w:color w:val="000000"/>
          <w:sz w:val="24"/>
          <w:szCs w:val="24"/>
        </w:rPr>
        <w:t>Catégories de dépenses</w:t>
      </w:r>
      <w:r w:rsidR="00FF7A00">
        <w:rPr>
          <w:rFonts w:ascii="Times New Roman" w:eastAsia="Calibri" w:hAnsi="Times New Roman" w:cs="Times New Roman"/>
          <w:b/>
          <w:i/>
          <w:color w:val="000000"/>
          <w:sz w:val="24"/>
          <w:szCs w:val="24"/>
        </w:rPr>
        <w:t> </w:t>
      </w:r>
      <w:r w:rsidR="00FF7A00">
        <w:rPr>
          <w:rFonts w:ascii="Times New Roman" w:eastAsia="Calibri" w:hAnsi="Times New Roman" w:cs="Times New Roman"/>
          <w:color w:val="000000"/>
          <w:sz w:val="24"/>
          <w:szCs w:val="24"/>
        </w:rPr>
        <w:t>:</w:t>
      </w:r>
    </w:p>
    <w:p w14:paraId="3DC9552A" w14:textId="77777777" w:rsidR="00DC79D8" w:rsidRPr="00DC79D8" w:rsidRDefault="00DC79D8" w:rsidP="00DC79D8">
      <w:pPr>
        <w:numPr>
          <w:ilvl w:val="0"/>
          <w:numId w:val="4"/>
        </w:numPr>
        <w:shd w:val="clear" w:color="auto" w:fill="FFFFFF"/>
        <w:spacing w:after="200" w:line="276" w:lineRule="auto"/>
        <w:contextualSpacing/>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Services de consultants</w:t>
      </w:r>
    </w:p>
    <w:p w14:paraId="6FD4FBFB" w14:textId="77777777" w:rsidR="00DC79D8" w:rsidRPr="00DC79D8" w:rsidRDefault="00DC79D8" w:rsidP="00DC79D8">
      <w:pPr>
        <w:numPr>
          <w:ilvl w:val="0"/>
          <w:numId w:val="4"/>
        </w:numPr>
        <w:shd w:val="clear" w:color="auto" w:fill="FFFFFF"/>
        <w:spacing w:after="200" w:line="276" w:lineRule="auto"/>
        <w:contextualSpacing/>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Biens</w:t>
      </w:r>
    </w:p>
    <w:p w14:paraId="4C1BF456" w14:textId="77777777" w:rsidR="00DC79D8" w:rsidRPr="00715148" w:rsidRDefault="00DC79D8" w:rsidP="00DC79D8">
      <w:pPr>
        <w:shd w:val="clear" w:color="auto" w:fill="FFFFFF"/>
        <w:spacing w:after="200" w:line="276" w:lineRule="auto"/>
        <w:ind w:left="720"/>
        <w:contextualSpacing/>
        <w:jc w:val="both"/>
        <w:rPr>
          <w:rFonts w:ascii="Times New Roman" w:eastAsia="Calibri" w:hAnsi="Times New Roman" w:cs="Times New Roman"/>
          <w:color w:val="000000"/>
          <w:sz w:val="12"/>
          <w:szCs w:val="12"/>
        </w:rPr>
      </w:pPr>
    </w:p>
    <w:p w14:paraId="67797695" w14:textId="77777777" w:rsidR="00DC79D8" w:rsidRPr="00DC79D8" w:rsidRDefault="00DC79D8" w:rsidP="00715148">
      <w:pPr>
        <w:numPr>
          <w:ilvl w:val="0"/>
          <w:numId w:val="2"/>
        </w:numPr>
        <w:shd w:val="clear" w:color="auto" w:fill="FFFFFF"/>
        <w:spacing w:before="240" w:after="120" w:line="240" w:lineRule="auto"/>
        <w:ind w:left="714" w:hanging="357"/>
        <w:jc w:val="both"/>
        <w:rPr>
          <w:rFonts w:ascii="Times New Roman" w:eastAsia="Calibri" w:hAnsi="Times New Roman" w:cs="Times New Roman"/>
          <w:b/>
          <w:sz w:val="24"/>
          <w:szCs w:val="24"/>
        </w:rPr>
      </w:pPr>
      <w:r w:rsidRPr="00DC79D8">
        <w:rPr>
          <w:rFonts w:ascii="Times New Roman" w:eastAsia="Calibri" w:hAnsi="Times New Roman" w:cs="Times New Roman"/>
          <w:b/>
          <w:sz w:val="24"/>
          <w:szCs w:val="24"/>
        </w:rPr>
        <w:t>Services de consultants</w:t>
      </w:r>
    </w:p>
    <w:p w14:paraId="448DA82F" w14:textId="69639E6A" w:rsidR="007671F7" w:rsidRDefault="007671F7" w:rsidP="00715148">
      <w:pPr>
        <w:shd w:val="clear" w:color="auto" w:fill="FFFFFF"/>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La s</w:t>
      </w:r>
      <w:r w:rsidRPr="007671F7">
        <w:rPr>
          <w:rFonts w:ascii="Times New Roman" w:eastAsia="Calibri" w:hAnsi="Times New Roman" w:cs="Times New Roman"/>
          <w:sz w:val="24"/>
          <w:szCs w:val="24"/>
        </w:rPr>
        <w:t xml:space="preserve">élection d'un cabinet pour la réalisation </w:t>
      </w:r>
      <w:r w:rsidR="00FF7A00" w:rsidRPr="00FF7A00">
        <w:rPr>
          <w:rFonts w:ascii="Times New Roman" w:eastAsia="Calibri" w:hAnsi="Times New Roman" w:cs="Times New Roman"/>
          <w:sz w:val="24"/>
          <w:szCs w:val="24"/>
        </w:rPr>
        <w:t>des études géotechnique, technique et architecturale, supervision des travaux et conseils en équipements</w:t>
      </w:r>
      <w:r w:rsidR="00FF7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fera selon la méthode de </w:t>
      </w:r>
      <w:r w:rsidR="008907A3">
        <w:rPr>
          <w:rFonts w:ascii="Times New Roman" w:eastAsia="Calibri" w:hAnsi="Times New Roman" w:cs="Times New Roman"/>
          <w:sz w:val="24"/>
          <w:szCs w:val="24"/>
        </w:rPr>
        <w:t>sélection basée</w:t>
      </w:r>
      <w:r>
        <w:rPr>
          <w:rFonts w:ascii="Times New Roman" w:eastAsia="Calibri" w:hAnsi="Times New Roman" w:cs="Times New Roman"/>
          <w:sz w:val="24"/>
          <w:szCs w:val="24"/>
        </w:rPr>
        <w:t xml:space="preserve"> sur le rapport qualité/ coût</w:t>
      </w:r>
      <w:r w:rsidR="002D3E48">
        <w:rPr>
          <w:rFonts w:ascii="Times New Roman" w:eastAsia="Calibri" w:hAnsi="Times New Roman" w:cs="Times New Roman"/>
          <w:sz w:val="24"/>
          <w:szCs w:val="24"/>
        </w:rPr>
        <w:t xml:space="preserve"> parmi une liste restreinte après avis à manifestation d’intérêt pays </w:t>
      </w:r>
      <w:r w:rsidR="008907A3">
        <w:rPr>
          <w:rFonts w:ascii="Times New Roman" w:eastAsia="Calibri" w:hAnsi="Times New Roman" w:cs="Times New Roman"/>
          <w:sz w:val="24"/>
          <w:szCs w:val="24"/>
        </w:rPr>
        <w:t>membres.</w:t>
      </w:r>
    </w:p>
    <w:p w14:paraId="2CC63F40" w14:textId="68FE5765" w:rsidR="00C60B13" w:rsidRPr="00DC79D8" w:rsidRDefault="00C60B13" w:rsidP="00715148">
      <w:pPr>
        <w:shd w:val="clear" w:color="auto" w:fill="FFFFFF"/>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La s</w:t>
      </w:r>
      <w:r w:rsidRPr="00C60B13">
        <w:rPr>
          <w:rFonts w:ascii="Times New Roman" w:eastAsia="Calibri" w:hAnsi="Times New Roman" w:cs="Times New Roman"/>
          <w:sz w:val="24"/>
          <w:szCs w:val="24"/>
        </w:rPr>
        <w:t xml:space="preserve">élection d'un cabinet pour la réalisation de l'audit comptable et financier du projet, exercices 2020 à 2023 </w:t>
      </w:r>
      <w:r w:rsidRPr="00DC79D8">
        <w:rPr>
          <w:rFonts w:ascii="Times New Roman" w:eastAsia="Calibri" w:hAnsi="Times New Roman" w:cs="Times New Roman"/>
          <w:sz w:val="24"/>
          <w:szCs w:val="24"/>
        </w:rPr>
        <w:t>se fera selon la méthode de sélection du moindre coût parmi une liste restreinte de cabinets d’audit à l’échelon national</w:t>
      </w:r>
    </w:p>
    <w:p w14:paraId="4CC621BD" w14:textId="043CDEEF" w:rsidR="00C60B13" w:rsidRPr="00DC79D8" w:rsidRDefault="00C60B13" w:rsidP="00715148">
      <w:pPr>
        <w:shd w:val="clear" w:color="auto" w:fill="FFFFFF"/>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Le r</w:t>
      </w:r>
      <w:r w:rsidRPr="00C60B13">
        <w:rPr>
          <w:rFonts w:ascii="Times New Roman" w:eastAsia="Calibri" w:hAnsi="Times New Roman" w:cs="Times New Roman"/>
          <w:sz w:val="24"/>
          <w:szCs w:val="24"/>
        </w:rPr>
        <w:t>ecrutement d'un cabinet pour l'élaboration du manuel de procédures</w:t>
      </w:r>
      <w:r>
        <w:rPr>
          <w:rFonts w:ascii="Times New Roman" w:eastAsia="Calibri" w:hAnsi="Times New Roman" w:cs="Times New Roman"/>
          <w:sz w:val="24"/>
          <w:szCs w:val="24"/>
        </w:rPr>
        <w:t xml:space="preserve"> </w:t>
      </w:r>
      <w:r w:rsidRPr="00DC79D8">
        <w:rPr>
          <w:rFonts w:ascii="Times New Roman" w:eastAsia="Calibri" w:hAnsi="Times New Roman" w:cs="Times New Roman"/>
          <w:sz w:val="24"/>
          <w:szCs w:val="24"/>
        </w:rPr>
        <w:t>se fera selon la méthode de sélection du moindre coût parmi une liste restreinte de cabinets d’audit à l’échelon national</w:t>
      </w:r>
    </w:p>
    <w:p w14:paraId="388260DF" w14:textId="77777777" w:rsidR="00DC79D8" w:rsidRPr="00DC79D8" w:rsidRDefault="00DC79D8" w:rsidP="00DC79D8">
      <w:pPr>
        <w:suppressAutoHyphens/>
        <w:spacing w:before="120" w:after="120"/>
        <w:jc w:val="both"/>
        <w:rPr>
          <w:rFonts w:ascii="Times New Roman" w:eastAsia="Calibri" w:hAnsi="Times New Roman" w:cs="Times New Roman"/>
          <w:spacing w:val="-2"/>
          <w:sz w:val="24"/>
          <w:szCs w:val="24"/>
        </w:rPr>
      </w:pPr>
      <w:bookmarkStart w:id="2" w:name="_Toc86137312"/>
      <w:bookmarkStart w:id="3" w:name="_Toc156921289"/>
      <w:r w:rsidRPr="00DC79D8">
        <w:rPr>
          <w:rFonts w:ascii="Times New Roman" w:eastAsia="Calibri" w:hAnsi="Times New Roman" w:cs="Times New Roman"/>
          <w:spacing w:val="-2"/>
          <w:sz w:val="24"/>
          <w:szCs w:val="24"/>
        </w:rPr>
        <w:t>Les modes d’acquisition sont résumés dans le tableau ci-dessous :</w:t>
      </w:r>
    </w:p>
    <w:tbl>
      <w:tblPr>
        <w:tblW w:w="10065" w:type="dxa"/>
        <w:tblInd w:w="-214" w:type="dxa"/>
        <w:tblLayout w:type="fixed"/>
        <w:tblCellMar>
          <w:left w:w="70" w:type="dxa"/>
          <w:right w:w="70" w:type="dxa"/>
        </w:tblCellMar>
        <w:tblLook w:val="04A0" w:firstRow="1" w:lastRow="0" w:firstColumn="1" w:lastColumn="0" w:noHBand="0" w:noVBand="1"/>
      </w:tblPr>
      <w:tblGrid>
        <w:gridCol w:w="471"/>
        <w:gridCol w:w="5767"/>
        <w:gridCol w:w="1054"/>
        <w:gridCol w:w="992"/>
        <w:gridCol w:w="1781"/>
      </w:tblGrid>
      <w:tr w:rsidR="00DC79D8" w:rsidRPr="00C60B13" w14:paraId="0210EDAB" w14:textId="77777777" w:rsidTr="00715148">
        <w:trPr>
          <w:trHeight w:val="770"/>
          <w:tblHeader/>
        </w:trPr>
        <w:tc>
          <w:tcPr>
            <w:tcW w:w="471" w:type="dxa"/>
            <w:tcBorders>
              <w:top w:val="single" w:sz="8" w:space="0" w:color="auto"/>
              <w:left w:val="single" w:sz="8" w:space="0" w:color="auto"/>
              <w:bottom w:val="single" w:sz="8" w:space="0" w:color="auto"/>
              <w:right w:val="single" w:sz="8" w:space="0" w:color="auto"/>
            </w:tcBorders>
            <w:vAlign w:val="center"/>
          </w:tcPr>
          <w:p w14:paraId="7CCB176F" w14:textId="77777777" w:rsidR="00DC79D8" w:rsidRPr="00C60B13" w:rsidRDefault="00DC79D8" w:rsidP="00715148">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N°</w:t>
            </w:r>
          </w:p>
        </w:tc>
        <w:tc>
          <w:tcPr>
            <w:tcW w:w="57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4F0805" w14:textId="77777777" w:rsidR="00DC79D8" w:rsidRPr="00C60B13" w:rsidRDefault="00DC79D8" w:rsidP="00715148">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Description du type de service à fournir</w:t>
            </w:r>
          </w:p>
        </w:tc>
        <w:tc>
          <w:tcPr>
            <w:tcW w:w="2046" w:type="dxa"/>
            <w:gridSpan w:val="2"/>
            <w:tcBorders>
              <w:top w:val="single" w:sz="8" w:space="0" w:color="auto"/>
              <w:left w:val="nil"/>
              <w:bottom w:val="single" w:sz="8" w:space="0" w:color="auto"/>
              <w:right w:val="single" w:sz="8" w:space="0" w:color="auto"/>
            </w:tcBorders>
            <w:shd w:val="clear" w:color="auto" w:fill="auto"/>
            <w:noWrap/>
            <w:vAlign w:val="center"/>
            <w:hideMark/>
          </w:tcPr>
          <w:p w14:paraId="70F363AE" w14:textId="77777777" w:rsidR="00DC79D8" w:rsidRPr="00C60B13" w:rsidRDefault="00DC79D8" w:rsidP="00715148">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Méthode de sélection</w:t>
            </w:r>
          </w:p>
        </w:tc>
        <w:tc>
          <w:tcPr>
            <w:tcW w:w="1781" w:type="dxa"/>
            <w:tcBorders>
              <w:top w:val="single" w:sz="8" w:space="0" w:color="auto"/>
              <w:left w:val="nil"/>
              <w:bottom w:val="single" w:sz="8" w:space="0" w:color="auto"/>
              <w:right w:val="single" w:sz="8" w:space="0" w:color="auto"/>
            </w:tcBorders>
            <w:shd w:val="clear" w:color="auto" w:fill="auto"/>
            <w:vAlign w:val="center"/>
            <w:hideMark/>
          </w:tcPr>
          <w:p w14:paraId="44440F6F" w14:textId="77777777" w:rsidR="00DC79D8" w:rsidRPr="00C60B13" w:rsidRDefault="00DC79D8" w:rsidP="00715148">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Période prévisionnelle lancement DP</w:t>
            </w:r>
          </w:p>
        </w:tc>
      </w:tr>
      <w:tr w:rsidR="007418D3" w:rsidRPr="00C60B13" w14:paraId="31896E40" w14:textId="77777777" w:rsidTr="00715148">
        <w:trPr>
          <w:trHeight w:val="848"/>
        </w:trPr>
        <w:tc>
          <w:tcPr>
            <w:tcW w:w="471" w:type="dxa"/>
            <w:tcBorders>
              <w:top w:val="nil"/>
              <w:left w:val="single" w:sz="8" w:space="0" w:color="auto"/>
              <w:bottom w:val="single" w:sz="8" w:space="0" w:color="auto"/>
              <w:right w:val="single" w:sz="8" w:space="0" w:color="auto"/>
            </w:tcBorders>
            <w:shd w:val="clear" w:color="000000" w:fill="FFFFFF"/>
            <w:vAlign w:val="center"/>
          </w:tcPr>
          <w:p w14:paraId="5E7A7284" w14:textId="77777777" w:rsidR="007418D3" w:rsidRPr="00C60B13" w:rsidRDefault="007418D3"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1</w:t>
            </w:r>
          </w:p>
        </w:tc>
        <w:tc>
          <w:tcPr>
            <w:tcW w:w="5767" w:type="dxa"/>
            <w:tcBorders>
              <w:top w:val="nil"/>
              <w:left w:val="single" w:sz="8" w:space="0" w:color="auto"/>
              <w:bottom w:val="single" w:sz="8" w:space="0" w:color="auto"/>
              <w:right w:val="single" w:sz="8" w:space="0" w:color="auto"/>
            </w:tcBorders>
            <w:shd w:val="clear" w:color="000000" w:fill="FFFFFF"/>
            <w:noWrap/>
          </w:tcPr>
          <w:p w14:paraId="1A88110B" w14:textId="438C5EA5" w:rsidR="007418D3" w:rsidRPr="00C60B13" w:rsidRDefault="007418D3" w:rsidP="00715148">
            <w:pPr>
              <w:spacing w:after="0" w:line="240" w:lineRule="auto"/>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 xml:space="preserve">Sélection d'un cabinet pour la réalisation </w:t>
            </w:r>
            <w:r w:rsidR="00715148" w:rsidRPr="00715148">
              <w:rPr>
                <w:rFonts w:ascii="Times New Roman" w:eastAsia="Calibri" w:hAnsi="Times New Roman" w:cs="Times New Roman"/>
                <w:color w:val="000000"/>
                <w:lang w:eastAsia="fr-FR"/>
              </w:rPr>
              <w:t>des études géotechnique, technique et architecturale, supervision des travaux et conseils en équipements</w:t>
            </w:r>
          </w:p>
        </w:tc>
        <w:tc>
          <w:tcPr>
            <w:tcW w:w="1054" w:type="dxa"/>
            <w:tcBorders>
              <w:top w:val="nil"/>
              <w:left w:val="nil"/>
              <w:bottom w:val="single" w:sz="8" w:space="0" w:color="auto"/>
              <w:right w:val="single" w:sz="8" w:space="0" w:color="auto"/>
            </w:tcBorders>
            <w:shd w:val="clear" w:color="000000" w:fill="FFFFFF"/>
            <w:vAlign w:val="center"/>
          </w:tcPr>
          <w:p w14:paraId="71028A5E" w14:textId="73F360BE" w:rsidR="007418D3" w:rsidRPr="00C60B13" w:rsidRDefault="00CE4081"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AMI</w:t>
            </w:r>
          </w:p>
        </w:tc>
        <w:tc>
          <w:tcPr>
            <w:tcW w:w="992" w:type="dxa"/>
            <w:tcBorders>
              <w:top w:val="nil"/>
              <w:left w:val="nil"/>
              <w:bottom w:val="single" w:sz="8" w:space="0" w:color="auto"/>
              <w:right w:val="single" w:sz="8" w:space="0" w:color="auto"/>
            </w:tcBorders>
            <w:shd w:val="clear" w:color="auto" w:fill="auto"/>
            <w:vAlign w:val="center"/>
          </w:tcPr>
          <w:p w14:paraId="09831AE8" w14:textId="77777777" w:rsidR="007418D3" w:rsidRPr="00C60B13" w:rsidRDefault="007418D3"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SBQC</w:t>
            </w:r>
          </w:p>
        </w:tc>
        <w:tc>
          <w:tcPr>
            <w:tcW w:w="1781" w:type="dxa"/>
            <w:tcBorders>
              <w:top w:val="nil"/>
              <w:left w:val="nil"/>
              <w:bottom w:val="single" w:sz="8" w:space="0" w:color="auto"/>
              <w:right w:val="single" w:sz="8" w:space="0" w:color="auto"/>
            </w:tcBorders>
            <w:shd w:val="clear" w:color="auto" w:fill="auto"/>
            <w:noWrap/>
            <w:vAlign w:val="center"/>
          </w:tcPr>
          <w:p w14:paraId="05ABF959" w14:textId="77777777" w:rsidR="007418D3" w:rsidRPr="00C60B13" w:rsidRDefault="007418D3"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2022</w:t>
            </w:r>
          </w:p>
        </w:tc>
      </w:tr>
      <w:tr w:rsidR="007418D3" w:rsidRPr="00C60B13" w14:paraId="1EFE1650" w14:textId="77777777" w:rsidTr="008907A3">
        <w:trPr>
          <w:trHeight w:val="615"/>
        </w:trPr>
        <w:tc>
          <w:tcPr>
            <w:tcW w:w="471" w:type="dxa"/>
            <w:tcBorders>
              <w:top w:val="nil"/>
              <w:left w:val="single" w:sz="8" w:space="0" w:color="auto"/>
              <w:bottom w:val="single" w:sz="8" w:space="0" w:color="auto"/>
              <w:right w:val="single" w:sz="8" w:space="0" w:color="auto"/>
            </w:tcBorders>
            <w:shd w:val="clear" w:color="000000" w:fill="FFFFFF"/>
            <w:vAlign w:val="center"/>
          </w:tcPr>
          <w:p w14:paraId="138D5451" w14:textId="75366732" w:rsidR="007418D3" w:rsidRPr="00C60B13" w:rsidRDefault="00CE4081"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2</w:t>
            </w:r>
          </w:p>
        </w:tc>
        <w:tc>
          <w:tcPr>
            <w:tcW w:w="5767" w:type="dxa"/>
            <w:tcBorders>
              <w:top w:val="nil"/>
              <w:left w:val="single" w:sz="8" w:space="0" w:color="auto"/>
              <w:bottom w:val="single" w:sz="8" w:space="0" w:color="auto"/>
              <w:right w:val="single" w:sz="8" w:space="0" w:color="auto"/>
            </w:tcBorders>
            <w:shd w:val="clear" w:color="000000" w:fill="FFFFFF"/>
            <w:hideMark/>
          </w:tcPr>
          <w:p w14:paraId="2FE85223" w14:textId="14D29FB7" w:rsidR="007418D3" w:rsidRPr="00C60B13" w:rsidRDefault="007418D3" w:rsidP="00715148">
            <w:pPr>
              <w:spacing w:after="0" w:line="240" w:lineRule="auto"/>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Sélection d'un cabinet pour la réalisation de l'audit comptable et financier du projet, exercices 2020 à 202</w:t>
            </w:r>
            <w:r w:rsidR="00C60B13" w:rsidRPr="00C60B13">
              <w:rPr>
                <w:rFonts w:ascii="Times New Roman" w:eastAsia="Calibri" w:hAnsi="Times New Roman" w:cs="Times New Roman"/>
                <w:color w:val="000000"/>
                <w:lang w:eastAsia="fr-FR"/>
              </w:rPr>
              <w:t>3</w:t>
            </w:r>
          </w:p>
        </w:tc>
        <w:tc>
          <w:tcPr>
            <w:tcW w:w="1054" w:type="dxa"/>
            <w:tcBorders>
              <w:top w:val="nil"/>
              <w:left w:val="nil"/>
              <w:bottom w:val="single" w:sz="8" w:space="0" w:color="auto"/>
              <w:right w:val="single" w:sz="8" w:space="0" w:color="auto"/>
            </w:tcBorders>
            <w:shd w:val="clear" w:color="000000" w:fill="FFFFFF"/>
            <w:vAlign w:val="center"/>
            <w:hideMark/>
          </w:tcPr>
          <w:p w14:paraId="7EA3E7B8" w14:textId="77777777" w:rsidR="007418D3" w:rsidRPr="00C60B13" w:rsidRDefault="007418D3"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LR/N</w:t>
            </w:r>
          </w:p>
        </w:tc>
        <w:tc>
          <w:tcPr>
            <w:tcW w:w="992" w:type="dxa"/>
            <w:tcBorders>
              <w:top w:val="nil"/>
              <w:left w:val="nil"/>
              <w:bottom w:val="single" w:sz="8" w:space="0" w:color="auto"/>
              <w:right w:val="single" w:sz="8" w:space="0" w:color="auto"/>
            </w:tcBorders>
            <w:shd w:val="clear" w:color="auto" w:fill="auto"/>
            <w:vAlign w:val="center"/>
            <w:hideMark/>
          </w:tcPr>
          <w:p w14:paraId="70FD8A55" w14:textId="1301E789" w:rsidR="007418D3" w:rsidRPr="00C60B13" w:rsidRDefault="00CE4081"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SMC</w:t>
            </w:r>
          </w:p>
        </w:tc>
        <w:tc>
          <w:tcPr>
            <w:tcW w:w="1781" w:type="dxa"/>
            <w:tcBorders>
              <w:top w:val="nil"/>
              <w:left w:val="nil"/>
              <w:bottom w:val="single" w:sz="8" w:space="0" w:color="auto"/>
              <w:right w:val="single" w:sz="8" w:space="0" w:color="auto"/>
            </w:tcBorders>
            <w:shd w:val="clear" w:color="auto" w:fill="auto"/>
            <w:noWrap/>
            <w:vAlign w:val="center"/>
            <w:hideMark/>
          </w:tcPr>
          <w:p w14:paraId="49B0CEE5" w14:textId="77777777" w:rsidR="007418D3" w:rsidRPr="00C60B13" w:rsidRDefault="007418D3"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2022</w:t>
            </w:r>
          </w:p>
        </w:tc>
      </w:tr>
      <w:tr w:rsidR="00DC79D8" w:rsidRPr="00C60B13" w14:paraId="07A4CDE5" w14:textId="77777777" w:rsidTr="008907A3">
        <w:trPr>
          <w:trHeight w:val="615"/>
        </w:trPr>
        <w:tc>
          <w:tcPr>
            <w:tcW w:w="471" w:type="dxa"/>
            <w:tcBorders>
              <w:top w:val="nil"/>
              <w:left w:val="single" w:sz="8" w:space="0" w:color="auto"/>
              <w:bottom w:val="single" w:sz="8" w:space="0" w:color="auto"/>
              <w:right w:val="single" w:sz="8" w:space="0" w:color="auto"/>
            </w:tcBorders>
            <w:shd w:val="clear" w:color="000000" w:fill="FFFFFF"/>
            <w:vAlign w:val="center"/>
          </w:tcPr>
          <w:p w14:paraId="14AABCDA" w14:textId="03175A1C" w:rsidR="00DC79D8" w:rsidRPr="00C60B13" w:rsidRDefault="00CE4081"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3</w:t>
            </w:r>
          </w:p>
        </w:tc>
        <w:tc>
          <w:tcPr>
            <w:tcW w:w="5767" w:type="dxa"/>
            <w:tcBorders>
              <w:top w:val="nil"/>
              <w:left w:val="single" w:sz="8" w:space="0" w:color="auto"/>
              <w:bottom w:val="single" w:sz="8" w:space="0" w:color="auto"/>
              <w:right w:val="single" w:sz="8" w:space="0" w:color="auto"/>
            </w:tcBorders>
            <w:shd w:val="clear" w:color="000000" w:fill="FFFFFF"/>
            <w:vAlign w:val="center"/>
          </w:tcPr>
          <w:p w14:paraId="751BBD1A" w14:textId="6BA0CCD2" w:rsidR="00DC79D8" w:rsidRPr="00C60B13" w:rsidRDefault="00CE4081" w:rsidP="00715148">
            <w:pPr>
              <w:spacing w:after="0" w:line="240" w:lineRule="auto"/>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Recrutement d'un cabinet pour l'élaboration du manuel de procédures</w:t>
            </w:r>
          </w:p>
        </w:tc>
        <w:tc>
          <w:tcPr>
            <w:tcW w:w="1054" w:type="dxa"/>
            <w:tcBorders>
              <w:top w:val="nil"/>
              <w:left w:val="nil"/>
              <w:bottom w:val="single" w:sz="8" w:space="0" w:color="auto"/>
              <w:right w:val="single" w:sz="8" w:space="0" w:color="auto"/>
            </w:tcBorders>
            <w:shd w:val="clear" w:color="000000" w:fill="FFFFFF"/>
            <w:vAlign w:val="center"/>
          </w:tcPr>
          <w:p w14:paraId="44327A58" w14:textId="77777777" w:rsidR="00DC79D8" w:rsidRPr="00C60B13" w:rsidRDefault="00DC79D8"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LR/N</w:t>
            </w:r>
          </w:p>
        </w:tc>
        <w:tc>
          <w:tcPr>
            <w:tcW w:w="992" w:type="dxa"/>
            <w:tcBorders>
              <w:top w:val="nil"/>
              <w:left w:val="nil"/>
              <w:bottom w:val="single" w:sz="8" w:space="0" w:color="auto"/>
              <w:right w:val="single" w:sz="8" w:space="0" w:color="auto"/>
            </w:tcBorders>
            <w:shd w:val="clear" w:color="auto" w:fill="auto"/>
            <w:vAlign w:val="center"/>
          </w:tcPr>
          <w:p w14:paraId="5F8C4B06" w14:textId="396C292C" w:rsidR="00DC79D8" w:rsidRPr="00C60B13" w:rsidRDefault="00CE4081"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SMC</w:t>
            </w:r>
          </w:p>
        </w:tc>
        <w:tc>
          <w:tcPr>
            <w:tcW w:w="1781" w:type="dxa"/>
            <w:tcBorders>
              <w:top w:val="nil"/>
              <w:left w:val="nil"/>
              <w:bottom w:val="single" w:sz="8" w:space="0" w:color="auto"/>
              <w:right w:val="single" w:sz="8" w:space="0" w:color="auto"/>
            </w:tcBorders>
            <w:shd w:val="clear" w:color="auto" w:fill="auto"/>
            <w:noWrap/>
            <w:vAlign w:val="center"/>
          </w:tcPr>
          <w:p w14:paraId="242702D8" w14:textId="77777777" w:rsidR="00DC79D8" w:rsidRPr="00C60B13" w:rsidRDefault="00DC79D8" w:rsidP="00715148">
            <w:pPr>
              <w:spacing w:after="0" w:line="240" w:lineRule="auto"/>
              <w:jc w:val="center"/>
              <w:rPr>
                <w:rFonts w:ascii="Times New Roman" w:eastAsia="Calibri" w:hAnsi="Times New Roman" w:cs="Times New Roman"/>
                <w:color w:val="000000"/>
                <w:lang w:eastAsia="fr-FR"/>
              </w:rPr>
            </w:pPr>
            <w:r w:rsidRPr="00C60B13">
              <w:rPr>
                <w:rFonts w:ascii="Times New Roman" w:eastAsia="Calibri" w:hAnsi="Times New Roman" w:cs="Times New Roman"/>
                <w:color w:val="000000"/>
                <w:lang w:eastAsia="fr-FR"/>
              </w:rPr>
              <w:t>2022</w:t>
            </w:r>
          </w:p>
        </w:tc>
      </w:tr>
    </w:tbl>
    <w:p w14:paraId="71B48C5F" w14:textId="29FBE082" w:rsidR="00DC79D8" w:rsidRPr="00715148" w:rsidRDefault="00DC79D8" w:rsidP="00715148">
      <w:pPr>
        <w:shd w:val="clear" w:color="auto" w:fill="FFFFFF"/>
        <w:spacing w:after="0" w:line="240" w:lineRule="auto"/>
        <w:jc w:val="both"/>
        <w:rPr>
          <w:rFonts w:ascii="Times New Roman" w:eastAsia="Calibri" w:hAnsi="Times New Roman" w:cs="Times New Roman"/>
          <w:sz w:val="12"/>
          <w:szCs w:val="12"/>
        </w:rPr>
      </w:pPr>
    </w:p>
    <w:p w14:paraId="06818ACA" w14:textId="77777777" w:rsidR="00715148" w:rsidRPr="00C60B13" w:rsidRDefault="00715148" w:rsidP="00715148">
      <w:pPr>
        <w:spacing w:after="0" w:line="240" w:lineRule="auto"/>
        <w:rPr>
          <w:rFonts w:ascii="Times New Roman" w:eastAsia="Calibri" w:hAnsi="Times New Roman" w:cs="Times New Roman"/>
          <w:b/>
          <w:color w:val="000000"/>
          <w:sz w:val="20"/>
          <w:szCs w:val="20"/>
          <w:lang w:eastAsia="fr-FR"/>
        </w:rPr>
      </w:pPr>
      <w:r w:rsidRPr="00C60B13">
        <w:rPr>
          <w:rFonts w:ascii="Times New Roman" w:eastAsia="Calibri" w:hAnsi="Times New Roman" w:cs="Times New Roman"/>
          <w:b/>
          <w:color w:val="000000"/>
          <w:sz w:val="20"/>
          <w:szCs w:val="20"/>
          <w:lang w:eastAsia="fr-FR"/>
        </w:rPr>
        <w:t xml:space="preserve">AMI : Avis à Manifestation d’Intérêt </w:t>
      </w:r>
    </w:p>
    <w:p w14:paraId="32B62D4B" w14:textId="77777777" w:rsidR="00715148" w:rsidRPr="00C60B13" w:rsidRDefault="00715148" w:rsidP="00715148">
      <w:pPr>
        <w:spacing w:after="0" w:line="240" w:lineRule="auto"/>
        <w:rPr>
          <w:rFonts w:ascii="Times New Roman" w:eastAsia="Calibri" w:hAnsi="Times New Roman" w:cs="Times New Roman"/>
          <w:b/>
          <w:color w:val="000000"/>
          <w:sz w:val="20"/>
          <w:szCs w:val="20"/>
          <w:lang w:eastAsia="fr-FR"/>
        </w:rPr>
      </w:pPr>
      <w:r w:rsidRPr="00C60B13">
        <w:rPr>
          <w:rFonts w:ascii="Times New Roman" w:eastAsia="Calibri" w:hAnsi="Times New Roman" w:cs="Times New Roman"/>
          <w:b/>
          <w:color w:val="000000"/>
          <w:sz w:val="20"/>
          <w:szCs w:val="20"/>
          <w:lang w:eastAsia="fr-FR"/>
        </w:rPr>
        <w:t xml:space="preserve">LR/N : Liste restreinte nationale </w:t>
      </w:r>
    </w:p>
    <w:p w14:paraId="11F45BC8" w14:textId="77777777" w:rsidR="00715148" w:rsidRPr="00C60B13" w:rsidRDefault="00715148" w:rsidP="00715148">
      <w:pPr>
        <w:spacing w:after="0" w:line="240" w:lineRule="auto"/>
        <w:rPr>
          <w:rFonts w:ascii="Times New Roman" w:eastAsia="Calibri" w:hAnsi="Times New Roman" w:cs="Times New Roman"/>
          <w:b/>
          <w:color w:val="000000"/>
          <w:sz w:val="20"/>
          <w:szCs w:val="20"/>
          <w:lang w:eastAsia="fr-FR"/>
        </w:rPr>
      </w:pPr>
      <w:r w:rsidRPr="00C60B13">
        <w:rPr>
          <w:rFonts w:ascii="Times New Roman" w:eastAsia="Calibri" w:hAnsi="Times New Roman" w:cs="Times New Roman"/>
          <w:b/>
          <w:color w:val="000000"/>
          <w:sz w:val="20"/>
          <w:szCs w:val="20"/>
          <w:lang w:eastAsia="fr-FR"/>
        </w:rPr>
        <w:t>SBQC: Sélection Basée sur la Qualité et le Coût</w:t>
      </w:r>
    </w:p>
    <w:p w14:paraId="3EE0A5DB" w14:textId="6671D0B6" w:rsidR="00C60B13" w:rsidRPr="00DC79D8" w:rsidRDefault="00715148" w:rsidP="00715148">
      <w:pPr>
        <w:shd w:val="clear" w:color="auto" w:fill="FFFFFF"/>
        <w:jc w:val="both"/>
        <w:rPr>
          <w:rFonts w:ascii="Times New Roman" w:eastAsia="Calibri" w:hAnsi="Times New Roman" w:cs="Times New Roman"/>
          <w:sz w:val="24"/>
          <w:szCs w:val="24"/>
        </w:rPr>
      </w:pPr>
      <w:r w:rsidRPr="00C60B13">
        <w:rPr>
          <w:rFonts w:ascii="Times New Roman" w:eastAsia="Calibri" w:hAnsi="Times New Roman" w:cs="Times New Roman"/>
          <w:b/>
          <w:color w:val="000000"/>
          <w:sz w:val="20"/>
          <w:szCs w:val="20"/>
          <w:lang w:eastAsia="fr-FR"/>
        </w:rPr>
        <w:t>SMC : Sélection au moindre coût</w:t>
      </w:r>
    </w:p>
    <w:p w14:paraId="3A9C254B" w14:textId="77777777" w:rsidR="00EB54D6" w:rsidRPr="00DC79D8" w:rsidRDefault="00EB54D6" w:rsidP="00EB54D6">
      <w:pPr>
        <w:numPr>
          <w:ilvl w:val="0"/>
          <w:numId w:val="2"/>
        </w:numPr>
        <w:shd w:val="clear" w:color="auto" w:fill="FFFFFF"/>
        <w:jc w:val="both"/>
        <w:rPr>
          <w:rFonts w:ascii="Times New Roman" w:eastAsia="Calibri" w:hAnsi="Times New Roman" w:cs="Times New Roman"/>
          <w:b/>
          <w:sz w:val="24"/>
          <w:szCs w:val="24"/>
        </w:rPr>
      </w:pPr>
      <w:r w:rsidRPr="00DC79D8">
        <w:rPr>
          <w:rFonts w:ascii="Times New Roman" w:eastAsia="Calibri" w:hAnsi="Times New Roman" w:cs="Times New Roman"/>
          <w:b/>
          <w:sz w:val="24"/>
          <w:szCs w:val="24"/>
        </w:rPr>
        <w:t xml:space="preserve">Biens </w:t>
      </w:r>
    </w:p>
    <w:p w14:paraId="6D91C0BF" w14:textId="68224069" w:rsidR="00EB54D6" w:rsidRPr="00295B80" w:rsidRDefault="00EB54D6" w:rsidP="00EB54D6">
      <w:pPr>
        <w:shd w:val="clear" w:color="auto" w:fill="FFFFFF"/>
        <w:jc w:val="both"/>
        <w:rPr>
          <w:rFonts w:ascii="Times New Roman" w:eastAsia="Calibri" w:hAnsi="Times New Roman" w:cs="Times New Roman"/>
          <w:bCs/>
          <w:sz w:val="24"/>
          <w:szCs w:val="24"/>
        </w:rPr>
      </w:pPr>
      <w:r w:rsidRPr="00295B80">
        <w:rPr>
          <w:rFonts w:ascii="Times New Roman" w:eastAsia="Calibri" w:hAnsi="Times New Roman" w:cs="Times New Roman"/>
          <w:bCs/>
          <w:sz w:val="24"/>
          <w:szCs w:val="24"/>
          <w:lang w:val="nl-NL"/>
        </w:rPr>
        <w:t xml:space="preserve">Les </w:t>
      </w:r>
      <w:r w:rsidRPr="00295B80">
        <w:rPr>
          <w:rFonts w:ascii="Times New Roman" w:eastAsia="Calibri" w:hAnsi="Times New Roman" w:cs="Times New Roman"/>
          <w:bCs/>
          <w:sz w:val="24"/>
          <w:szCs w:val="24"/>
        </w:rPr>
        <w:t xml:space="preserve">acquisitions pour les marchés de fournitures et services courant, se feront selon les procédures de </w:t>
      </w:r>
      <w:r>
        <w:rPr>
          <w:rFonts w:ascii="Times New Roman" w:eastAsia="Calibri" w:hAnsi="Times New Roman" w:cs="Times New Roman"/>
          <w:bCs/>
          <w:sz w:val="24"/>
          <w:szCs w:val="24"/>
        </w:rPr>
        <w:t>consultation de fournisseurs</w:t>
      </w:r>
      <w:r w:rsidRPr="00295B80">
        <w:rPr>
          <w:rFonts w:ascii="Times New Roman" w:eastAsia="Calibri" w:hAnsi="Times New Roman" w:cs="Times New Roman"/>
          <w:bCs/>
          <w:sz w:val="24"/>
          <w:szCs w:val="24"/>
        </w:rPr>
        <w:t xml:space="preserve"> et de demande de cotation et concernent</w:t>
      </w:r>
      <w:r>
        <w:rPr>
          <w:rFonts w:ascii="Times New Roman" w:eastAsia="Calibri" w:hAnsi="Times New Roman" w:cs="Times New Roman"/>
          <w:bCs/>
          <w:sz w:val="24"/>
          <w:szCs w:val="24"/>
        </w:rPr>
        <w:t xml:space="preserve"> l’a</w:t>
      </w:r>
      <w:r w:rsidRPr="00295B80">
        <w:rPr>
          <w:rFonts w:ascii="Times New Roman" w:eastAsia="Calibri" w:hAnsi="Times New Roman" w:cs="Times New Roman"/>
          <w:bCs/>
          <w:sz w:val="24"/>
          <w:szCs w:val="24"/>
        </w:rPr>
        <w:t>cquisition de fournitures et consommables de bureau pour l'UGP</w:t>
      </w:r>
      <w:r>
        <w:rPr>
          <w:rFonts w:ascii="Times New Roman" w:eastAsia="Calibri" w:hAnsi="Times New Roman" w:cs="Times New Roman"/>
          <w:bCs/>
          <w:sz w:val="24"/>
          <w:szCs w:val="24"/>
        </w:rPr>
        <w:t>.</w:t>
      </w:r>
    </w:p>
    <w:tbl>
      <w:tblPr>
        <w:tblW w:w="1006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9"/>
        <w:gridCol w:w="5801"/>
        <w:gridCol w:w="1559"/>
        <w:gridCol w:w="2126"/>
      </w:tblGrid>
      <w:tr w:rsidR="00EB54D6" w:rsidRPr="00DC79D8" w14:paraId="2DBA0CCC" w14:textId="77777777" w:rsidTr="00C37B56">
        <w:trPr>
          <w:trHeight w:val="659"/>
          <w:tblHeader/>
        </w:trPr>
        <w:tc>
          <w:tcPr>
            <w:tcW w:w="579" w:type="dxa"/>
            <w:vAlign w:val="center"/>
          </w:tcPr>
          <w:p w14:paraId="0178D50D" w14:textId="77777777" w:rsidR="00EB54D6" w:rsidRPr="00DC79D8" w:rsidRDefault="00EB54D6" w:rsidP="00C37B56">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N°</w:t>
            </w:r>
          </w:p>
        </w:tc>
        <w:tc>
          <w:tcPr>
            <w:tcW w:w="5801" w:type="dxa"/>
            <w:shd w:val="clear" w:color="auto" w:fill="auto"/>
            <w:noWrap/>
            <w:vAlign w:val="center"/>
            <w:hideMark/>
          </w:tcPr>
          <w:p w14:paraId="1391FEBC" w14:textId="77777777" w:rsidR="00EB54D6" w:rsidRPr="00DC79D8" w:rsidRDefault="00EB54D6" w:rsidP="00C37B56">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Description du type de bien à acquérir</w:t>
            </w:r>
          </w:p>
        </w:tc>
        <w:tc>
          <w:tcPr>
            <w:tcW w:w="1559" w:type="dxa"/>
            <w:shd w:val="clear" w:color="auto" w:fill="auto"/>
            <w:noWrap/>
            <w:vAlign w:val="center"/>
            <w:hideMark/>
          </w:tcPr>
          <w:p w14:paraId="62E62FD0" w14:textId="77777777" w:rsidR="00EB54D6" w:rsidRPr="00DC79D8" w:rsidRDefault="00EB54D6" w:rsidP="00C37B56">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Mode d’acquisition</w:t>
            </w:r>
          </w:p>
        </w:tc>
        <w:tc>
          <w:tcPr>
            <w:tcW w:w="2126" w:type="dxa"/>
            <w:shd w:val="clear" w:color="auto" w:fill="auto"/>
            <w:vAlign w:val="center"/>
            <w:hideMark/>
          </w:tcPr>
          <w:p w14:paraId="33C528C6" w14:textId="77777777" w:rsidR="00EB54D6" w:rsidRPr="00DC79D8" w:rsidRDefault="00EB54D6" w:rsidP="00C37B56">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Période prévisionnelle lancement DAO</w:t>
            </w:r>
          </w:p>
        </w:tc>
      </w:tr>
      <w:tr w:rsidR="00EB54D6" w:rsidRPr="00DC79D8" w14:paraId="086BFA9B" w14:textId="77777777" w:rsidTr="00C37B56">
        <w:trPr>
          <w:trHeight w:val="315"/>
        </w:trPr>
        <w:tc>
          <w:tcPr>
            <w:tcW w:w="579" w:type="dxa"/>
            <w:shd w:val="clear" w:color="000000" w:fill="FFFFFF"/>
          </w:tcPr>
          <w:p w14:paraId="5589B1EB" w14:textId="77777777" w:rsidR="00EB54D6" w:rsidRPr="00DC79D8" w:rsidRDefault="00EB54D6" w:rsidP="00C37B56">
            <w:pPr>
              <w:spacing w:before="120" w:after="120"/>
              <w:jc w:val="center"/>
              <w:rPr>
                <w:rFonts w:ascii="Times New Roman" w:eastAsia="Calibri" w:hAnsi="Times New Roman" w:cs="Times New Roman"/>
                <w:color w:val="000000"/>
                <w:sz w:val="20"/>
                <w:lang w:eastAsia="fr-FR"/>
              </w:rPr>
            </w:pPr>
            <w:r w:rsidRPr="00DC79D8">
              <w:rPr>
                <w:rFonts w:ascii="Times New Roman" w:eastAsia="Calibri" w:hAnsi="Times New Roman" w:cs="Times New Roman"/>
                <w:color w:val="000000"/>
                <w:sz w:val="20"/>
                <w:lang w:eastAsia="fr-FR"/>
              </w:rPr>
              <w:t>1</w:t>
            </w:r>
          </w:p>
        </w:tc>
        <w:tc>
          <w:tcPr>
            <w:tcW w:w="5801" w:type="dxa"/>
            <w:shd w:val="clear" w:color="000000" w:fill="FFFFFF"/>
            <w:hideMark/>
          </w:tcPr>
          <w:p w14:paraId="1E7B6CF9" w14:textId="77777777" w:rsidR="00EB54D6" w:rsidRPr="00DC79D8" w:rsidRDefault="00EB54D6" w:rsidP="00C37B56">
            <w:pPr>
              <w:spacing w:before="120" w:after="120"/>
              <w:rPr>
                <w:rFonts w:ascii="Times New Roman" w:eastAsia="Calibri" w:hAnsi="Times New Roman" w:cs="Times New Roman"/>
                <w:color w:val="000000"/>
                <w:sz w:val="20"/>
                <w:lang w:eastAsia="fr-FR"/>
              </w:rPr>
            </w:pPr>
            <w:r w:rsidRPr="007418D3">
              <w:rPr>
                <w:rFonts w:ascii="Times New Roman" w:eastAsia="Calibri" w:hAnsi="Times New Roman" w:cs="Times New Roman"/>
                <w:color w:val="000000"/>
                <w:sz w:val="20"/>
                <w:lang w:eastAsia="fr-FR"/>
              </w:rPr>
              <w:t>Acquisition de fournitures et consommables de bureau pour l'UGP</w:t>
            </w:r>
          </w:p>
        </w:tc>
        <w:tc>
          <w:tcPr>
            <w:tcW w:w="1559" w:type="dxa"/>
            <w:shd w:val="clear" w:color="000000" w:fill="FFFFFF"/>
            <w:vAlign w:val="center"/>
            <w:hideMark/>
          </w:tcPr>
          <w:p w14:paraId="001055D1" w14:textId="77777777" w:rsidR="00EB54D6" w:rsidRPr="00DC79D8" w:rsidRDefault="00EB54D6" w:rsidP="00C37B56">
            <w:pPr>
              <w:spacing w:before="120" w:after="120"/>
              <w:jc w:val="center"/>
              <w:rPr>
                <w:rFonts w:ascii="Times New Roman" w:eastAsia="Calibri" w:hAnsi="Times New Roman" w:cs="Times New Roman"/>
                <w:color w:val="000000"/>
                <w:sz w:val="20"/>
                <w:lang w:eastAsia="fr-FR"/>
              </w:rPr>
            </w:pPr>
            <w:r>
              <w:rPr>
                <w:rFonts w:ascii="Times New Roman" w:eastAsia="Calibri" w:hAnsi="Times New Roman" w:cs="Times New Roman"/>
                <w:color w:val="000000"/>
                <w:sz w:val="20"/>
                <w:lang w:eastAsia="fr-FR"/>
              </w:rPr>
              <w:t>CF</w:t>
            </w:r>
          </w:p>
        </w:tc>
        <w:tc>
          <w:tcPr>
            <w:tcW w:w="2126" w:type="dxa"/>
            <w:shd w:val="clear" w:color="auto" w:fill="auto"/>
            <w:noWrap/>
            <w:vAlign w:val="center"/>
            <w:hideMark/>
          </w:tcPr>
          <w:p w14:paraId="0DB8DFBC" w14:textId="77777777" w:rsidR="00EB54D6" w:rsidRPr="00DC79D8" w:rsidRDefault="00EB54D6" w:rsidP="00C37B56">
            <w:pPr>
              <w:spacing w:before="120" w:after="120"/>
              <w:jc w:val="center"/>
              <w:rPr>
                <w:rFonts w:ascii="Times New Roman" w:eastAsia="Calibri" w:hAnsi="Times New Roman" w:cs="Times New Roman"/>
                <w:color w:val="000000"/>
                <w:sz w:val="20"/>
                <w:lang w:eastAsia="fr-FR"/>
              </w:rPr>
            </w:pPr>
            <w:r w:rsidRPr="00DC79D8">
              <w:rPr>
                <w:rFonts w:ascii="Times New Roman" w:eastAsia="Calibri" w:hAnsi="Times New Roman" w:cs="Times New Roman"/>
                <w:color w:val="000000"/>
                <w:sz w:val="20"/>
                <w:lang w:eastAsia="fr-FR"/>
              </w:rPr>
              <w:t>2022</w:t>
            </w:r>
          </w:p>
        </w:tc>
      </w:tr>
    </w:tbl>
    <w:p w14:paraId="064FB33F" w14:textId="297F2A8B" w:rsidR="00EB54D6" w:rsidRPr="00EB54D6" w:rsidRDefault="00EB54D6" w:rsidP="00EB54D6">
      <w:pPr>
        <w:spacing w:after="0" w:line="240" w:lineRule="auto"/>
        <w:rPr>
          <w:rFonts w:ascii="Times New Roman" w:eastAsia="Calibri" w:hAnsi="Times New Roman" w:cs="Times New Roman"/>
          <w:b/>
          <w:color w:val="000000"/>
          <w:sz w:val="20"/>
          <w:szCs w:val="20"/>
          <w:lang w:eastAsia="fr-FR"/>
        </w:rPr>
      </w:pPr>
      <w:r w:rsidRPr="00EB54D6">
        <w:rPr>
          <w:rFonts w:ascii="Times New Roman" w:eastAsia="Calibri" w:hAnsi="Times New Roman" w:cs="Times New Roman"/>
          <w:b/>
          <w:color w:val="000000"/>
          <w:sz w:val="20"/>
          <w:szCs w:val="20"/>
          <w:lang w:eastAsia="fr-FR"/>
        </w:rPr>
        <w:t>CF : Consultation de fournisseurs</w:t>
      </w:r>
    </w:p>
    <w:p w14:paraId="63031BF6" w14:textId="3F5A4D2E" w:rsidR="00DC79D8" w:rsidRPr="00DC79D8" w:rsidRDefault="00DC79D8" w:rsidP="00DC79D8">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lastRenderedPageBreak/>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w:t>
      </w:r>
    </w:p>
    <w:p w14:paraId="09549280" w14:textId="77777777" w:rsidR="00DC79D8" w:rsidRPr="00DC79D8" w:rsidRDefault="00DC79D8" w:rsidP="00DC79D8">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t>Les avis spécifiques de passation des marchés pour les acquisitions à effectuer par Appel d’Offres International (AOI) ou Appel d’Offres International réservé aux pays membres (AOI/PM) et les appels à manifestations d’intérêt pour les services de consultants seront publiés au fur et à mesure qu’ils seront disponibles, sur le site internet de la BID.</w:t>
      </w:r>
    </w:p>
    <w:p w14:paraId="0C84DBB8" w14:textId="77777777" w:rsidR="00DC79D8" w:rsidRPr="00DC79D8" w:rsidRDefault="00DC79D8" w:rsidP="00DC79D8">
      <w:pPr>
        <w:tabs>
          <w:tab w:val="left" w:pos="0"/>
        </w:tabs>
        <w:spacing w:line="240" w:lineRule="auto"/>
        <w:ind w:left="357"/>
        <w:contextualSpacing/>
        <w:jc w:val="both"/>
        <w:rPr>
          <w:rFonts w:ascii="Times New Roman" w:eastAsia="Calibri" w:hAnsi="Times New Roman" w:cs="Times New Roman"/>
          <w:b/>
          <w:color w:val="000000"/>
          <w:sz w:val="20"/>
          <w:lang w:eastAsia="fr-FR"/>
        </w:rPr>
      </w:pPr>
    </w:p>
    <w:p w14:paraId="5FEDE38E" w14:textId="287AE817" w:rsidR="00DC79D8" w:rsidRPr="00DC79D8" w:rsidRDefault="00DC79D8" w:rsidP="00DC79D8">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w:t>
      </w:r>
      <w:r w:rsidR="00EB54D6" w:rsidRPr="00DC79D8">
        <w:rPr>
          <w:rFonts w:ascii="Times New Roman" w:eastAsia="Calibri" w:hAnsi="Times New Roman" w:cs="Times New Roman"/>
          <w:sz w:val="24"/>
        </w:rPr>
        <w:t>dessous :</w:t>
      </w:r>
    </w:p>
    <w:bookmarkEnd w:id="2"/>
    <w:bookmarkEnd w:id="3"/>
    <w:p w14:paraId="443FA3E4" w14:textId="77777777" w:rsidR="00DC79D8" w:rsidRPr="00DC79D8" w:rsidRDefault="00DC79D8" w:rsidP="00DC79D8">
      <w:pPr>
        <w:suppressAutoHyphens/>
        <w:spacing w:after="0" w:line="240" w:lineRule="auto"/>
        <w:jc w:val="both"/>
        <w:rPr>
          <w:rFonts w:ascii="Times New Roman" w:eastAsia="Times New Roman" w:hAnsi="Times New Roman" w:cs="Times New Roman"/>
          <w:b/>
          <w:spacing w:val="-2"/>
          <w:sz w:val="20"/>
          <w:szCs w:val="20"/>
        </w:rPr>
      </w:pPr>
    </w:p>
    <w:p w14:paraId="587F2B7B" w14:textId="77777777" w:rsidR="00DC79D8" w:rsidRPr="00DC79D8" w:rsidRDefault="00DC79D8" w:rsidP="00DC79D8">
      <w:pPr>
        <w:suppressAutoHyphens/>
        <w:spacing w:after="0" w:line="240" w:lineRule="auto"/>
        <w:jc w:val="both"/>
        <w:rPr>
          <w:rFonts w:ascii="Times New Roman" w:eastAsia="Times New Roman" w:hAnsi="Times New Roman" w:cs="Times New Roman"/>
          <w:b/>
          <w:spacing w:val="-2"/>
          <w:sz w:val="20"/>
          <w:szCs w:val="20"/>
        </w:rPr>
      </w:pPr>
    </w:p>
    <w:p w14:paraId="21B3FCBB" w14:textId="77777777" w:rsidR="00DC79D8" w:rsidRPr="00DC79D8" w:rsidRDefault="00DC79D8" w:rsidP="00DC79D8">
      <w:pPr>
        <w:suppressAutoHyphens/>
        <w:spacing w:after="0" w:line="240" w:lineRule="auto"/>
        <w:jc w:val="both"/>
        <w:rPr>
          <w:rFonts w:ascii="Times New Roman" w:eastAsia="Times New Roman" w:hAnsi="Times New Roman" w:cs="Times New Roman"/>
          <w:b/>
          <w:spacing w:val="-2"/>
          <w:sz w:val="20"/>
          <w:szCs w:val="20"/>
        </w:rPr>
      </w:pPr>
    </w:p>
    <w:p w14:paraId="10F34CC1" w14:textId="74AFF61D" w:rsidR="00DC79D8" w:rsidRPr="00DC79D8" w:rsidRDefault="00B072A0" w:rsidP="00DC79D8">
      <w:pPr>
        <w:suppressAutoHyphens/>
        <w:spacing w:after="0" w:line="240" w:lineRule="auto"/>
        <w:jc w:val="both"/>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Ministère de l’enseignement supérieur et de la recherche</w:t>
      </w:r>
    </w:p>
    <w:p w14:paraId="30F7EDA9" w14:textId="302002C9" w:rsidR="00292EBC" w:rsidRPr="008907A3" w:rsidRDefault="00DC79D8" w:rsidP="008907A3">
      <w:pPr>
        <w:suppressAutoHyphens/>
        <w:spacing w:after="0" w:line="240" w:lineRule="auto"/>
        <w:jc w:val="both"/>
        <w:rPr>
          <w:rFonts w:ascii="Times New Roman" w:eastAsia="Times New Roman" w:hAnsi="Times New Roman" w:cs="Times New Roman"/>
          <w:b/>
          <w:spacing w:val="-2"/>
          <w:sz w:val="20"/>
          <w:szCs w:val="20"/>
        </w:rPr>
      </w:pPr>
      <w:r w:rsidRPr="00DC79D8">
        <w:rPr>
          <w:rFonts w:ascii="Times New Roman" w:eastAsia="Times New Roman" w:hAnsi="Times New Roman" w:cs="Times New Roman"/>
          <w:b/>
          <w:spacing w:val="-2"/>
          <w:sz w:val="20"/>
          <w:szCs w:val="20"/>
        </w:rPr>
        <w:t>Téléphone : 0022</w:t>
      </w:r>
      <w:r w:rsidR="00B072A0">
        <w:rPr>
          <w:rFonts w:ascii="Times New Roman" w:eastAsia="Times New Roman" w:hAnsi="Times New Roman" w:cs="Times New Roman"/>
          <w:b/>
          <w:spacing w:val="-2"/>
          <w:sz w:val="20"/>
          <w:szCs w:val="20"/>
        </w:rPr>
        <w:t>8</w:t>
      </w:r>
      <w:r w:rsidRPr="00DC79D8">
        <w:rPr>
          <w:rFonts w:ascii="Times New Roman" w:eastAsia="Times New Roman" w:hAnsi="Times New Roman" w:cs="Times New Roman"/>
          <w:b/>
          <w:spacing w:val="-2"/>
          <w:sz w:val="20"/>
          <w:szCs w:val="20"/>
        </w:rPr>
        <w:t xml:space="preserve"> </w:t>
      </w:r>
      <w:r w:rsidR="00B072A0">
        <w:rPr>
          <w:rFonts w:ascii="Times New Roman" w:eastAsia="Times New Roman" w:hAnsi="Times New Roman" w:cs="Times New Roman"/>
          <w:b/>
          <w:spacing w:val="-2"/>
          <w:sz w:val="20"/>
          <w:szCs w:val="20"/>
        </w:rPr>
        <w:t>22 21 68</w:t>
      </w:r>
      <w:r w:rsidR="007418D3">
        <w:rPr>
          <w:rFonts w:ascii="Times New Roman" w:eastAsia="Times New Roman" w:hAnsi="Times New Roman" w:cs="Times New Roman"/>
          <w:b/>
          <w:spacing w:val="-2"/>
          <w:sz w:val="20"/>
          <w:szCs w:val="20"/>
        </w:rPr>
        <w:t xml:space="preserve"> 65</w:t>
      </w:r>
    </w:p>
    <w:sectPr w:rsidR="00292EBC" w:rsidRPr="008907A3" w:rsidSect="00C60B13">
      <w:footerReference w:type="default" r:id="rId10"/>
      <w:pgSz w:w="11906" w:h="16838"/>
      <w:pgMar w:top="1560" w:right="1133" w:bottom="1417" w:left="1417"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09BA" w14:textId="77777777" w:rsidR="00263ED0" w:rsidRDefault="00263ED0">
      <w:pPr>
        <w:spacing w:after="0" w:line="240" w:lineRule="auto"/>
      </w:pPr>
      <w:r>
        <w:separator/>
      </w:r>
    </w:p>
  </w:endnote>
  <w:endnote w:type="continuationSeparator" w:id="0">
    <w:p w14:paraId="2AE08301" w14:textId="77777777" w:rsidR="00263ED0" w:rsidRDefault="0026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FBA7" w14:textId="37A85687" w:rsidR="00832A05" w:rsidRDefault="00115F5C" w:rsidP="00065909">
    <w:pPr>
      <w:pStyle w:val="Pieddepage"/>
      <w:jc w:val="center"/>
    </w:pPr>
    <w:r>
      <w:rPr>
        <w:rFonts w:ascii="Arial Narrow" w:hAnsi="Arial Narrow" w:cs="Arial"/>
        <w:sz w:val="18"/>
        <w:szCs w:val="18"/>
      </w:rPr>
      <w:t xml:space="preserve">                               </w:t>
    </w:r>
    <w:r w:rsidRPr="00E50C78">
      <w:rPr>
        <w:rFonts w:ascii="Times New Roman" w:hAnsi="Times New Roman"/>
        <w:sz w:val="14"/>
        <w:szCs w:val="14"/>
      </w:rPr>
      <w:t xml:space="preserve">AVIS GENERAL DE PASSATION DES MARCHES DU PROJET </w:t>
    </w:r>
    <w:r w:rsidR="002A2FD5" w:rsidRPr="00E50C78">
      <w:rPr>
        <w:rFonts w:ascii="Times New Roman" w:hAnsi="Times New Roman"/>
        <w:sz w:val="14"/>
        <w:szCs w:val="14"/>
      </w:rPr>
      <w:t>PARESI-</w:t>
    </w:r>
    <w:r w:rsidR="00E50C78" w:rsidRPr="00E50C78">
      <w:rPr>
        <w:rFonts w:ascii="Times New Roman" w:eastAsia="Times New Roman" w:hAnsi="Times New Roman" w:cs="Times New Roman"/>
        <w:bCs/>
        <w:spacing w:val="-2"/>
        <w:sz w:val="20"/>
        <w:szCs w:val="20"/>
      </w:rPr>
      <w:t xml:space="preserve"> </w:t>
    </w:r>
    <w:r w:rsidR="00C60B13" w:rsidRPr="00C60B13">
      <w:rPr>
        <w:rFonts w:ascii="Times New Roman" w:hAnsi="Times New Roman"/>
        <w:bCs/>
        <w:sz w:val="14"/>
        <w:szCs w:val="14"/>
      </w:rPr>
      <w:t>2-TGO-1008</w:t>
    </w:r>
    <w:r w:rsidRPr="002E4A95">
      <w:rPr>
        <w:rFonts w:ascii="Arial Narrow" w:hAnsi="Arial Narrow"/>
        <w:sz w:val="18"/>
        <w:szCs w:val="18"/>
      </w:rPr>
      <w:tab/>
      <w:t xml:space="preserve">Page </w:t>
    </w:r>
    <w:r w:rsidRPr="002E4A95">
      <w:rPr>
        <w:rFonts w:ascii="Arial Narrow" w:hAnsi="Arial Narrow"/>
        <w:sz w:val="18"/>
        <w:szCs w:val="18"/>
      </w:rPr>
      <w:fldChar w:fldCharType="begin"/>
    </w:r>
    <w:r w:rsidRPr="002E4A95">
      <w:rPr>
        <w:rFonts w:ascii="Arial Narrow" w:hAnsi="Arial Narrow"/>
        <w:sz w:val="18"/>
        <w:szCs w:val="18"/>
      </w:rPr>
      <w:instrText>PAGE   \* MERGEFORMAT</w:instrText>
    </w:r>
    <w:r w:rsidRPr="002E4A95">
      <w:rPr>
        <w:rFonts w:ascii="Arial Narrow" w:hAnsi="Arial Narrow"/>
        <w:sz w:val="18"/>
        <w:szCs w:val="18"/>
      </w:rPr>
      <w:fldChar w:fldCharType="separate"/>
    </w:r>
    <w:r w:rsidR="00583FF8">
      <w:rPr>
        <w:rFonts w:ascii="Arial Narrow" w:hAnsi="Arial Narrow"/>
        <w:noProof/>
        <w:sz w:val="18"/>
        <w:szCs w:val="18"/>
      </w:rPr>
      <w:t>1</w:t>
    </w:r>
    <w:r w:rsidRPr="002E4A95">
      <w:rPr>
        <w:rFonts w:ascii="Arial Narrow" w:hAnsi="Arial Narrow"/>
        <w:sz w:val="18"/>
        <w:szCs w:val="18"/>
      </w:rPr>
      <w:fldChar w:fldCharType="end"/>
    </w:r>
  </w:p>
  <w:p w14:paraId="0B84D78A" w14:textId="77777777" w:rsidR="00832A05" w:rsidRDefault="00263E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F1B32" w14:textId="77777777" w:rsidR="00263ED0" w:rsidRDefault="00263ED0">
      <w:pPr>
        <w:spacing w:after="0" w:line="240" w:lineRule="auto"/>
      </w:pPr>
      <w:r>
        <w:separator/>
      </w:r>
    </w:p>
  </w:footnote>
  <w:footnote w:type="continuationSeparator" w:id="0">
    <w:p w14:paraId="32CCEA35" w14:textId="77777777" w:rsidR="00263ED0" w:rsidRDefault="00263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14A9"/>
    <w:multiLevelType w:val="hybridMultilevel"/>
    <w:tmpl w:val="32322BD6"/>
    <w:lvl w:ilvl="0" w:tplc="D34A691C">
      <w:start w:val="1"/>
      <w:numFmt w:val="bullet"/>
      <w:lvlText w:val="-"/>
      <w:lvlJc w:val="left"/>
      <w:pPr>
        <w:ind w:left="2160" w:hanging="360"/>
      </w:pPr>
      <w:rPr>
        <w:rFonts w:ascii="Times New Roman" w:eastAsia="Calibr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452E472D"/>
    <w:multiLevelType w:val="hybridMultilevel"/>
    <w:tmpl w:val="B32042B2"/>
    <w:lvl w:ilvl="0" w:tplc="B6C40622">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nsid w:val="48923AC2"/>
    <w:multiLevelType w:val="hybridMultilevel"/>
    <w:tmpl w:val="D632E1A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147686"/>
    <w:multiLevelType w:val="hybridMultilevel"/>
    <w:tmpl w:val="4DD087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17545C"/>
    <w:multiLevelType w:val="hybridMultilevel"/>
    <w:tmpl w:val="0B16BB6C"/>
    <w:lvl w:ilvl="0" w:tplc="92BA8440">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2F0362"/>
    <w:multiLevelType w:val="hybridMultilevel"/>
    <w:tmpl w:val="D9EA86E4"/>
    <w:lvl w:ilvl="0" w:tplc="D34A691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D8"/>
    <w:rsid w:val="000840B9"/>
    <w:rsid w:val="000D4E1C"/>
    <w:rsid w:val="00115F5C"/>
    <w:rsid w:val="00212E18"/>
    <w:rsid w:val="00223EEB"/>
    <w:rsid w:val="00237989"/>
    <w:rsid w:val="002434D6"/>
    <w:rsid w:val="00263ED0"/>
    <w:rsid w:val="00292EBC"/>
    <w:rsid w:val="00295B80"/>
    <w:rsid w:val="002A2FD5"/>
    <w:rsid w:val="002D3E48"/>
    <w:rsid w:val="002D56FB"/>
    <w:rsid w:val="0048043C"/>
    <w:rsid w:val="004E3FB0"/>
    <w:rsid w:val="00583FF8"/>
    <w:rsid w:val="0063129A"/>
    <w:rsid w:val="00655FFF"/>
    <w:rsid w:val="006B0FDE"/>
    <w:rsid w:val="00715148"/>
    <w:rsid w:val="007418D3"/>
    <w:rsid w:val="007671F7"/>
    <w:rsid w:val="008907A3"/>
    <w:rsid w:val="008D1B5C"/>
    <w:rsid w:val="00921A17"/>
    <w:rsid w:val="00A42FBA"/>
    <w:rsid w:val="00B072A0"/>
    <w:rsid w:val="00B70FAC"/>
    <w:rsid w:val="00BC792A"/>
    <w:rsid w:val="00BE7B63"/>
    <w:rsid w:val="00C60B13"/>
    <w:rsid w:val="00CC2E36"/>
    <w:rsid w:val="00CE4081"/>
    <w:rsid w:val="00D148B1"/>
    <w:rsid w:val="00D171C2"/>
    <w:rsid w:val="00D24E58"/>
    <w:rsid w:val="00DC79D8"/>
    <w:rsid w:val="00DD26F0"/>
    <w:rsid w:val="00E50C78"/>
    <w:rsid w:val="00EB54D6"/>
    <w:rsid w:val="00FD1F80"/>
    <w:rsid w:val="00FF7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DBFD"/>
  <w15:chartTrackingRefBased/>
  <w15:docId w15:val="{9D7901A6-6A56-4F1D-9E07-5766ACFE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C79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C79D8"/>
  </w:style>
  <w:style w:type="paragraph" w:styleId="En-tte">
    <w:name w:val="header"/>
    <w:basedOn w:val="Normal"/>
    <w:link w:val="En-tteCar"/>
    <w:uiPriority w:val="99"/>
    <w:unhideWhenUsed/>
    <w:rsid w:val="002A2FD5"/>
    <w:pPr>
      <w:tabs>
        <w:tab w:val="center" w:pos="4513"/>
        <w:tab w:val="right" w:pos="9026"/>
      </w:tabs>
      <w:spacing w:after="0" w:line="240" w:lineRule="auto"/>
    </w:pPr>
  </w:style>
  <w:style w:type="character" w:customStyle="1" w:styleId="En-tteCar">
    <w:name w:val="En-tête Car"/>
    <w:basedOn w:val="Policepardfaut"/>
    <w:link w:val="En-tte"/>
    <w:uiPriority w:val="99"/>
    <w:rsid w:val="002A2FD5"/>
  </w:style>
  <w:style w:type="table" w:styleId="Grilledutableau">
    <w:name w:val="Table Grid"/>
    <w:basedOn w:val="TableauNormal"/>
    <w:uiPriority w:val="39"/>
    <w:rsid w:val="000D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noblegille@gmail.com</dc:creator>
  <cp:keywords/>
  <dc:description/>
  <cp:lastModifiedBy>Sylvain MAWUENA</cp:lastModifiedBy>
  <cp:revision>2</cp:revision>
  <dcterms:created xsi:type="dcterms:W3CDTF">2022-05-31T23:48:00Z</dcterms:created>
  <dcterms:modified xsi:type="dcterms:W3CDTF">2022-05-31T23:48:00Z</dcterms:modified>
</cp:coreProperties>
</file>