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484623" w14:textId="77777777" w:rsidR="00136D81" w:rsidRPr="00136D81" w:rsidRDefault="00136D81" w:rsidP="00136D81">
      <w:pPr>
        <w:pStyle w:val="Header1"/>
        <w:widowControl/>
        <w:rPr>
          <w:rFonts w:ascii="Arial" w:hAnsi="Arial" w:cs="Arial"/>
          <w:sz w:val="44"/>
          <w:szCs w:val="22"/>
          <w:lang w:val="fr-FR"/>
        </w:rPr>
      </w:pPr>
      <w:r w:rsidRPr="00136D81">
        <w:rPr>
          <w:rFonts w:ascii="Arial" w:hAnsi="Arial" w:cs="Arial"/>
          <w:sz w:val="44"/>
          <w:szCs w:val="22"/>
          <w:lang w:val="fr-FR"/>
        </w:rPr>
        <w:t xml:space="preserve">Avis d’Appel d’Offres International (AAOI) </w:t>
      </w:r>
    </w:p>
    <w:p w14:paraId="57B765CF" w14:textId="77777777" w:rsidR="00136D81" w:rsidRPr="00136D81" w:rsidRDefault="00136D81" w:rsidP="00136D81">
      <w:pPr>
        <w:spacing w:before="120" w:after="120"/>
        <w:jc w:val="center"/>
        <w:rPr>
          <w:rFonts w:ascii="Arial" w:hAnsi="Arial" w:cs="Arial"/>
          <w:b/>
          <w:sz w:val="44"/>
          <w:szCs w:val="44"/>
          <w:lang w:val="en-US"/>
        </w:rPr>
      </w:pPr>
      <w:r>
        <w:rPr>
          <w:rFonts w:ascii="Arial" w:hAnsi="Arial" w:cs="Arial"/>
          <w:b/>
          <w:sz w:val="44"/>
          <w:szCs w:val="44"/>
          <w:lang w:val="en-US"/>
        </w:rPr>
        <w:t>A</w:t>
      </w:r>
      <w:r w:rsidRPr="00136D81">
        <w:rPr>
          <w:rFonts w:ascii="Arial" w:hAnsi="Arial" w:cs="Arial"/>
          <w:b/>
          <w:sz w:val="44"/>
          <w:szCs w:val="44"/>
          <w:lang w:val="en-US"/>
        </w:rPr>
        <w:t>AOI N° 014/DPI/PRMP/DG/CEET/2022</w:t>
      </w:r>
    </w:p>
    <w:p w14:paraId="31C99FC6" w14:textId="77777777" w:rsidR="00136D81" w:rsidRPr="006D31B9" w:rsidRDefault="00136D81" w:rsidP="00136D81">
      <w:pPr>
        <w:spacing w:before="120" w:after="200"/>
        <w:jc w:val="center"/>
        <w:rPr>
          <w:rFonts w:ascii="Arial" w:hAnsi="Arial" w:cs="Arial"/>
          <w:i/>
          <w:sz w:val="28"/>
          <w:szCs w:val="28"/>
        </w:rPr>
      </w:pPr>
      <w:r w:rsidRPr="006D31B9">
        <w:rPr>
          <w:rFonts w:ascii="Arial Narrow" w:hAnsi="Arial Narrow"/>
          <w:b/>
          <w:sz w:val="28"/>
          <w:szCs w:val="28"/>
        </w:rPr>
        <w:t>Mise en œuvre des fournitures et travaux de construction de réseaux moyenne et basse tension et postes de distribution MT/BT pour l’électrification de 43 chefs-lieux de cantons et localités rurales au Togo</w:t>
      </w:r>
    </w:p>
    <w:p w14:paraId="1F034626" w14:textId="77777777" w:rsidR="00136D81" w:rsidRDefault="00136D81" w:rsidP="00136D81">
      <w:pPr>
        <w:spacing w:after="200"/>
        <w:jc w:val="center"/>
        <w:rPr>
          <w:rFonts w:ascii="Arial" w:hAnsi="Arial" w:cs="Arial"/>
          <w:szCs w:val="24"/>
        </w:rPr>
      </w:pPr>
      <w:r w:rsidRPr="006D31B9">
        <w:rPr>
          <w:rFonts w:ascii="Arial" w:eastAsia="Calibri" w:hAnsi="Arial" w:cs="Arial"/>
          <w:b/>
          <w:szCs w:val="22"/>
        </w:rPr>
        <w:t xml:space="preserve">N° du Prêt </w:t>
      </w:r>
      <w:proofErr w:type="spellStart"/>
      <w:r w:rsidRPr="006D31B9">
        <w:rPr>
          <w:rFonts w:ascii="Arial" w:eastAsia="Calibri" w:hAnsi="Arial" w:cs="Arial"/>
          <w:b/>
          <w:szCs w:val="22"/>
        </w:rPr>
        <w:t>BIsD</w:t>
      </w:r>
      <w:proofErr w:type="spellEnd"/>
      <w:r w:rsidRPr="006D31B9">
        <w:rPr>
          <w:rFonts w:ascii="Arial" w:eastAsia="Calibri" w:hAnsi="Arial" w:cs="Arial"/>
          <w:b/>
          <w:szCs w:val="22"/>
        </w:rPr>
        <w:t> :</w:t>
      </w:r>
      <w:r w:rsidRPr="006D31B9">
        <w:rPr>
          <w:rFonts w:ascii="Arial" w:hAnsi="Arial" w:cs="Arial"/>
        </w:rPr>
        <w:t xml:space="preserve"> </w:t>
      </w:r>
      <w:r w:rsidRPr="006D31B9">
        <w:rPr>
          <w:rFonts w:ascii="Arial" w:hAnsi="Arial" w:cs="Arial"/>
          <w:szCs w:val="24"/>
        </w:rPr>
        <w:t>2TO-0036 et 2TO-</w:t>
      </w:r>
      <w:r w:rsidRPr="0038440B">
        <w:rPr>
          <w:rFonts w:ascii="Arial" w:hAnsi="Arial" w:cs="Arial"/>
          <w:szCs w:val="24"/>
        </w:rPr>
        <w:t>0037</w:t>
      </w:r>
    </w:p>
    <w:p w14:paraId="5BA6E3C3" w14:textId="77777777" w:rsidR="00136D81" w:rsidRPr="00136D81" w:rsidRDefault="00136D81" w:rsidP="00136D81">
      <w:pPr>
        <w:spacing w:after="200"/>
        <w:jc w:val="center"/>
        <w:rPr>
          <w:rFonts w:ascii="Arial" w:hAnsi="Arial" w:cs="Arial"/>
          <w:sz w:val="16"/>
        </w:rPr>
      </w:pPr>
    </w:p>
    <w:p w14:paraId="2C7CA661" w14:textId="77777777" w:rsidR="00136D81" w:rsidRPr="00156303" w:rsidRDefault="00136D81" w:rsidP="00136D81">
      <w:pPr>
        <w:pStyle w:val="BankNormal"/>
        <w:spacing w:after="120" w:line="276" w:lineRule="auto"/>
        <w:ind w:left="284" w:hanging="284"/>
        <w:jc w:val="both"/>
        <w:rPr>
          <w:rFonts w:ascii="Arial" w:hAnsi="Arial" w:cs="Arial"/>
          <w:spacing w:val="-2"/>
          <w:sz w:val="22"/>
          <w:szCs w:val="22"/>
          <w:lang w:val="fr-FR"/>
        </w:rPr>
      </w:pPr>
      <w:r>
        <w:rPr>
          <w:rFonts w:ascii="Arial" w:hAnsi="Arial" w:cs="Arial"/>
          <w:spacing w:val="-2"/>
          <w:sz w:val="22"/>
          <w:szCs w:val="22"/>
          <w:lang w:val="fr-FR"/>
        </w:rPr>
        <w:t>1</w:t>
      </w:r>
      <w:r w:rsidRPr="00156303">
        <w:rPr>
          <w:rFonts w:ascii="Arial" w:hAnsi="Arial" w:cs="Arial"/>
          <w:spacing w:val="-2"/>
          <w:sz w:val="22"/>
          <w:szCs w:val="22"/>
          <w:lang w:val="fr-FR"/>
        </w:rPr>
        <w:t xml:space="preserve">. </w:t>
      </w:r>
      <w:r>
        <w:rPr>
          <w:rFonts w:ascii="Arial" w:hAnsi="Arial" w:cs="Arial"/>
          <w:spacing w:val="-2"/>
          <w:sz w:val="22"/>
          <w:szCs w:val="22"/>
          <w:lang w:val="fr-FR"/>
        </w:rPr>
        <w:tab/>
      </w:r>
      <w:r w:rsidRPr="00156303">
        <w:rPr>
          <w:rFonts w:ascii="Arial" w:hAnsi="Arial" w:cs="Arial"/>
          <w:spacing w:val="-2"/>
          <w:sz w:val="22"/>
          <w:szCs w:val="22"/>
          <w:lang w:val="fr-FR"/>
        </w:rPr>
        <w:t xml:space="preserve">Le </w:t>
      </w:r>
      <w:r w:rsidRPr="00156303">
        <w:rPr>
          <w:rFonts w:ascii="Arial" w:hAnsi="Arial" w:cs="Arial"/>
          <w:sz w:val="22"/>
          <w:szCs w:val="22"/>
          <w:lang w:val="fr-FR"/>
        </w:rPr>
        <w:t>gouvernement de la République togolaise a sollicité et obtenu un financement</w:t>
      </w:r>
      <w:r w:rsidRPr="00156303">
        <w:rPr>
          <w:rFonts w:ascii="Arial" w:hAnsi="Arial" w:cs="Arial"/>
          <w:spacing w:val="-2"/>
          <w:sz w:val="22"/>
          <w:szCs w:val="22"/>
          <w:lang w:val="fr-FR"/>
        </w:rPr>
        <w:t xml:space="preserve"> </w:t>
      </w:r>
      <w:r w:rsidRPr="00156303">
        <w:rPr>
          <w:rFonts w:ascii="Arial" w:hAnsi="Arial" w:cs="Arial"/>
          <w:sz w:val="22"/>
          <w:szCs w:val="22"/>
          <w:lang w:val="fr-FR"/>
        </w:rPr>
        <w:t>auprès de la Banque Islamique de Développement (</w:t>
      </w:r>
      <w:proofErr w:type="spellStart"/>
      <w:r w:rsidRPr="00156303">
        <w:rPr>
          <w:rFonts w:ascii="Arial" w:hAnsi="Arial" w:cs="Arial"/>
          <w:sz w:val="22"/>
          <w:szCs w:val="22"/>
          <w:lang w:val="fr-FR"/>
        </w:rPr>
        <w:t>BI</w:t>
      </w:r>
      <w:r>
        <w:rPr>
          <w:rFonts w:ascii="Arial" w:hAnsi="Arial" w:cs="Arial"/>
          <w:sz w:val="22"/>
          <w:szCs w:val="22"/>
          <w:lang w:val="fr-FR"/>
        </w:rPr>
        <w:t>s</w:t>
      </w:r>
      <w:r w:rsidRPr="00156303">
        <w:rPr>
          <w:rFonts w:ascii="Arial" w:hAnsi="Arial" w:cs="Arial"/>
          <w:sz w:val="22"/>
          <w:szCs w:val="22"/>
          <w:lang w:val="fr-FR"/>
        </w:rPr>
        <w:t>D</w:t>
      </w:r>
      <w:proofErr w:type="spellEnd"/>
      <w:r w:rsidRPr="00156303">
        <w:rPr>
          <w:rFonts w:ascii="Arial" w:hAnsi="Arial" w:cs="Arial"/>
          <w:sz w:val="22"/>
          <w:szCs w:val="22"/>
          <w:lang w:val="fr-FR"/>
        </w:rPr>
        <w:t>)</w:t>
      </w:r>
      <w:r w:rsidRPr="00156303">
        <w:rPr>
          <w:rFonts w:ascii="Arial" w:hAnsi="Arial" w:cs="Arial"/>
          <w:spacing w:val="-2"/>
          <w:sz w:val="22"/>
          <w:szCs w:val="22"/>
          <w:lang w:val="fr-FR"/>
        </w:rPr>
        <w:t xml:space="preserve"> couvrir le coût du </w:t>
      </w:r>
      <w:r w:rsidRPr="00156303">
        <w:rPr>
          <w:rFonts w:ascii="Arial" w:eastAsia="Calibri" w:hAnsi="Arial" w:cs="Arial"/>
          <w:sz w:val="22"/>
          <w:szCs w:val="22"/>
          <w:lang w:val="fr-FR"/>
        </w:rPr>
        <w:t>Projet de Construction de la ligne haute tension 161 kV Dapaong-Mango : accès à l’électricité des communautés rurales - volet distribution</w:t>
      </w:r>
      <w:r w:rsidRPr="00156303">
        <w:rPr>
          <w:rFonts w:ascii="Arial" w:hAnsi="Arial" w:cs="Arial"/>
          <w:spacing w:val="-2"/>
          <w:sz w:val="22"/>
          <w:szCs w:val="22"/>
          <w:lang w:val="fr-FR"/>
        </w:rPr>
        <w:t>, et entend affecter une partie du produit de ce financement aux paiements relatifs aux marchés pour :</w:t>
      </w:r>
    </w:p>
    <w:p w14:paraId="4507985A" w14:textId="77777777" w:rsidR="00136D81" w:rsidRPr="00D4589C" w:rsidRDefault="00136D81" w:rsidP="00136D81">
      <w:pPr>
        <w:pStyle w:val="Paragraphedeliste"/>
        <w:numPr>
          <w:ilvl w:val="0"/>
          <w:numId w:val="3"/>
        </w:numPr>
        <w:spacing w:after="120" w:line="276" w:lineRule="auto"/>
        <w:ind w:left="1134" w:hanging="357"/>
        <w:contextualSpacing w:val="0"/>
        <w:rPr>
          <w:rFonts w:ascii="Arial" w:hAnsi="Arial" w:cs="Arial"/>
          <w:b/>
          <w:bCs/>
          <w:sz w:val="22"/>
          <w:szCs w:val="22"/>
        </w:rPr>
      </w:pPr>
      <w:r w:rsidRPr="00D4589C">
        <w:rPr>
          <w:rFonts w:ascii="Arial" w:hAnsi="Arial" w:cs="Arial"/>
          <w:b/>
          <w:bCs/>
          <w:sz w:val="22"/>
          <w:szCs w:val="22"/>
        </w:rPr>
        <w:t>Lot 1 :</w:t>
      </w:r>
      <w:r w:rsidRPr="00156303">
        <w:rPr>
          <w:rFonts w:ascii="Arial" w:hAnsi="Arial" w:cs="Arial"/>
          <w:sz w:val="22"/>
          <w:szCs w:val="22"/>
        </w:rPr>
        <w:t xml:space="preserve"> </w:t>
      </w:r>
      <w:r w:rsidRPr="00D4589C">
        <w:rPr>
          <w:rFonts w:ascii="Arial" w:hAnsi="Arial" w:cs="Arial"/>
          <w:b/>
          <w:bCs/>
          <w:sz w:val="22"/>
          <w:szCs w:val="22"/>
        </w:rPr>
        <w:t>Fourniture et pose de matériels électriques, et travaux d’électrification de vingt-deux (22) localités rurales dans la région des Savanes</w:t>
      </w:r>
    </w:p>
    <w:p w14:paraId="4F6C889D" w14:textId="77777777" w:rsidR="00136D81" w:rsidRPr="00D4589C" w:rsidRDefault="00136D81" w:rsidP="00136D81">
      <w:pPr>
        <w:pStyle w:val="Paragraphedeliste"/>
        <w:numPr>
          <w:ilvl w:val="0"/>
          <w:numId w:val="3"/>
        </w:numPr>
        <w:spacing w:line="276" w:lineRule="auto"/>
        <w:ind w:left="1134" w:hanging="357"/>
        <w:rPr>
          <w:rFonts w:ascii="Arial" w:hAnsi="Arial" w:cs="Arial"/>
          <w:b/>
          <w:bCs/>
          <w:sz w:val="22"/>
          <w:szCs w:val="22"/>
        </w:rPr>
      </w:pPr>
      <w:r w:rsidRPr="00D4589C">
        <w:rPr>
          <w:rFonts w:ascii="Arial" w:hAnsi="Arial" w:cs="Arial"/>
          <w:b/>
          <w:bCs/>
          <w:sz w:val="22"/>
          <w:szCs w:val="22"/>
        </w:rPr>
        <w:t>Lot 2 : Fourniture et pose de matériels électriques, et travaux d’électrification de vingt-un (21) localités rurales dans la région des Savanes</w:t>
      </w:r>
    </w:p>
    <w:p w14:paraId="11C1D9A9" w14:textId="77777777" w:rsidR="00136D81" w:rsidRPr="00136D81" w:rsidRDefault="00136D81" w:rsidP="00136D81">
      <w:pPr>
        <w:spacing w:line="276" w:lineRule="auto"/>
        <w:rPr>
          <w:rFonts w:ascii="Arial" w:hAnsi="Arial" w:cs="Arial"/>
          <w:sz w:val="14"/>
          <w:szCs w:val="22"/>
        </w:rPr>
      </w:pPr>
    </w:p>
    <w:p w14:paraId="54C7EE14" w14:textId="77777777" w:rsidR="00136D81" w:rsidRPr="00156303" w:rsidRDefault="00136D81" w:rsidP="00136D81">
      <w:pPr>
        <w:pStyle w:val="BankNormal"/>
        <w:spacing w:line="276" w:lineRule="auto"/>
        <w:ind w:left="284"/>
        <w:jc w:val="both"/>
        <w:rPr>
          <w:rFonts w:ascii="Arial" w:hAnsi="Arial" w:cs="Arial"/>
          <w:spacing w:val="-2"/>
          <w:sz w:val="22"/>
          <w:szCs w:val="22"/>
          <w:lang w:val="fr-FR"/>
        </w:rPr>
      </w:pPr>
      <w:r w:rsidRPr="00156303">
        <w:rPr>
          <w:rFonts w:ascii="Arial" w:hAnsi="Arial" w:cs="Arial"/>
          <w:spacing w:val="-2"/>
          <w:sz w:val="22"/>
          <w:szCs w:val="22"/>
          <w:lang w:val="fr-FR"/>
        </w:rPr>
        <w:t xml:space="preserve">La </w:t>
      </w:r>
      <w:r w:rsidRPr="00156303">
        <w:rPr>
          <w:rFonts w:ascii="Arial" w:eastAsia="Calibri" w:hAnsi="Arial" w:cs="Arial"/>
          <w:sz w:val="22"/>
          <w:szCs w:val="22"/>
          <w:lang w:val="fr-FR"/>
        </w:rPr>
        <w:t>Compagnie Energie Electrique du Togo (CEET)</w:t>
      </w:r>
      <w:r w:rsidRPr="00156303">
        <w:rPr>
          <w:rFonts w:ascii="Arial" w:hAnsi="Arial" w:cs="Arial"/>
          <w:spacing w:val="-2"/>
          <w:sz w:val="22"/>
          <w:szCs w:val="22"/>
          <w:lang w:val="fr-FR"/>
        </w:rPr>
        <w:t xml:space="preserve"> </w:t>
      </w:r>
      <w:r w:rsidRPr="00D846C3">
        <w:rPr>
          <w:rFonts w:ascii="Arial" w:hAnsi="Arial" w:cs="Arial"/>
          <w:spacing w:val="-2"/>
          <w:sz w:val="22"/>
          <w:szCs w:val="22"/>
          <w:lang w:val="fr-FR"/>
        </w:rPr>
        <w:t>sollicite des offres sous pli fermé de la part de soumissionnaires éligibles pour exécuter les Travaux de</w:t>
      </w:r>
      <w:r w:rsidRPr="00156303">
        <w:rPr>
          <w:rFonts w:ascii="Arial" w:hAnsi="Arial" w:cs="Arial"/>
          <w:spacing w:val="-2"/>
          <w:sz w:val="22"/>
          <w:szCs w:val="22"/>
          <w:lang w:val="fr-FR"/>
        </w:rPr>
        <w:t> :</w:t>
      </w:r>
    </w:p>
    <w:p w14:paraId="15054C43" w14:textId="77777777" w:rsidR="00136D81" w:rsidRPr="00156303" w:rsidRDefault="00136D81" w:rsidP="00136D81">
      <w:pPr>
        <w:pStyle w:val="BankNormal"/>
        <w:numPr>
          <w:ilvl w:val="0"/>
          <w:numId w:val="3"/>
        </w:numPr>
        <w:spacing w:after="0" w:line="276" w:lineRule="auto"/>
        <w:ind w:hanging="357"/>
        <w:jc w:val="both"/>
        <w:rPr>
          <w:rFonts w:ascii="Arial" w:hAnsi="Arial" w:cs="Arial"/>
          <w:spacing w:val="-2"/>
          <w:sz w:val="22"/>
          <w:szCs w:val="22"/>
          <w:lang w:val="fr-FR"/>
        </w:rPr>
      </w:pPr>
      <w:r w:rsidRPr="00156303">
        <w:rPr>
          <w:rFonts w:ascii="Arial" w:hAnsi="Arial" w:cs="Arial"/>
          <w:spacing w:val="-2"/>
          <w:sz w:val="22"/>
          <w:szCs w:val="22"/>
          <w:lang w:val="fr-FR"/>
        </w:rPr>
        <w:t>Lot</w:t>
      </w:r>
      <w:r>
        <w:rPr>
          <w:rFonts w:ascii="Arial" w:hAnsi="Arial" w:cs="Arial"/>
          <w:spacing w:val="-2"/>
          <w:sz w:val="22"/>
          <w:szCs w:val="22"/>
          <w:lang w:val="fr-FR"/>
        </w:rPr>
        <w:t xml:space="preserve"> </w:t>
      </w:r>
      <w:r w:rsidRPr="00156303">
        <w:rPr>
          <w:rFonts w:ascii="Arial" w:hAnsi="Arial" w:cs="Arial"/>
          <w:spacing w:val="-2"/>
          <w:sz w:val="22"/>
          <w:szCs w:val="22"/>
          <w:lang w:val="fr-FR"/>
        </w:rPr>
        <w:t>1 :</w:t>
      </w:r>
    </w:p>
    <w:p w14:paraId="074B5566" w14:textId="77777777" w:rsidR="00136D81" w:rsidRPr="00156303" w:rsidRDefault="00136D81" w:rsidP="00136D81">
      <w:pPr>
        <w:pStyle w:val="BankNormal"/>
        <w:numPr>
          <w:ilvl w:val="0"/>
          <w:numId w:val="2"/>
        </w:numPr>
        <w:spacing w:after="0" w:line="276" w:lineRule="auto"/>
        <w:ind w:left="1134" w:hanging="357"/>
        <w:jc w:val="both"/>
        <w:rPr>
          <w:rFonts w:ascii="Arial" w:hAnsi="Arial" w:cs="Arial"/>
          <w:spacing w:val="-2"/>
          <w:sz w:val="22"/>
          <w:szCs w:val="22"/>
          <w:lang w:val="fr-FR"/>
        </w:rPr>
      </w:pPr>
      <w:r w:rsidRPr="00156303">
        <w:rPr>
          <w:rFonts w:ascii="Arial" w:hAnsi="Arial" w:cs="Arial"/>
          <w:sz w:val="22"/>
          <w:szCs w:val="22"/>
          <w:lang w:val="fr-FR"/>
        </w:rPr>
        <w:t>Construction de 220 km de réseau moyenne tension (MT) aérien 33 kV en conducteur almélec nu de 54,6 mm² et 117 mm²</w:t>
      </w:r>
    </w:p>
    <w:p w14:paraId="7017E03A" w14:textId="77777777" w:rsidR="00136D81" w:rsidRPr="00156303" w:rsidRDefault="00136D81" w:rsidP="00136D81">
      <w:pPr>
        <w:pStyle w:val="BankNormal"/>
        <w:numPr>
          <w:ilvl w:val="0"/>
          <w:numId w:val="2"/>
        </w:numPr>
        <w:spacing w:after="0" w:line="276" w:lineRule="auto"/>
        <w:ind w:left="1134" w:hanging="357"/>
        <w:jc w:val="both"/>
        <w:rPr>
          <w:rFonts w:ascii="Arial" w:hAnsi="Arial" w:cs="Arial"/>
          <w:spacing w:val="-2"/>
          <w:sz w:val="22"/>
          <w:szCs w:val="22"/>
          <w:lang w:val="fr-FR"/>
        </w:rPr>
      </w:pPr>
      <w:r w:rsidRPr="00156303">
        <w:rPr>
          <w:rFonts w:ascii="Arial" w:hAnsi="Arial" w:cs="Arial"/>
          <w:sz w:val="22"/>
          <w:szCs w:val="22"/>
          <w:lang w:val="fr-FR"/>
        </w:rPr>
        <w:t xml:space="preserve">Construction de 29 postes de distribution MT/BT </w:t>
      </w:r>
      <w:r>
        <w:rPr>
          <w:rFonts w:ascii="Arial" w:hAnsi="Arial" w:cs="Arial"/>
          <w:sz w:val="22"/>
          <w:szCs w:val="22"/>
          <w:lang w:val="fr-FR"/>
        </w:rPr>
        <w:t>de 50, 100</w:t>
      </w:r>
      <w:r w:rsidRPr="00156303">
        <w:rPr>
          <w:rFonts w:ascii="Arial" w:hAnsi="Arial" w:cs="Arial"/>
          <w:sz w:val="22"/>
          <w:szCs w:val="22"/>
          <w:lang w:val="fr-FR"/>
        </w:rPr>
        <w:t xml:space="preserve"> et 160 kVA </w:t>
      </w:r>
    </w:p>
    <w:p w14:paraId="5F01F76C" w14:textId="77777777" w:rsidR="00136D81" w:rsidRPr="00156303" w:rsidRDefault="00136D81" w:rsidP="00136D81">
      <w:pPr>
        <w:pStyle w:val="BankNormal"/>
        <w:numPr>
          <w:ilvl w:val="0"/>
          <w:numId w:val="2"/>
        </w:numPr>
        <w:spacing w:after="0" w:line="276" w:lineRule="auto"/>
        <w:ind w:left="1134" w:hanging="357"/>
        <w:jc w:val="both"/>
        <w:rPr>
          <w:rFonts w:ascii="Arial" w:hAnsi="Arial" w:cs="Arial"/>
          <w:spacing w:val="-2"/>
          <w:sz w:val="22"/>
          <w:szCs w:val="22"/>
          <w:lang w:val="fr-FR"/>
        </w:rPr>
      </w:pPr>
      <w:r w:rsidRPr="00156303">
        <w:rPr>
          <w:rFonts w:ascii="Arial" w:hAnsi="Arial" w:cs="Arial"/>
          <w:sz w:val="22"/>
          <w:szCs w:val="22"/>
          <w:lang w:val="fr-FR"/>
        </w:rPr>
        <w:t xml:space="preserve">Construction de 92 km de réseau basse tension (BT) aérien en faisceaux de câbles </w:t>
      </w:r>
      <w:proofErr w:type="spellStart"/>
      <w:r w:rsidRPr="00156303">
        <w:rPr>
          <w:rFonts w:ascii="Arial" w:hAnsi="Arial" w:cs="Arial"/>
          <w:sz w:val="22"/>
          <w:szCs w:val="22"/>
          <w:lang w:val="fr-FR"/>
        </w:rPr>
        <w:t>pré-assemblés</w:t>
      </w:r>
      <w:proofErr w:type="spellEnd"/>
      <w:r w:rsidRPr="00156303">
        <w:rPr>
          <w:rFonts w:ascii="Arial" w:hAnsi="Arial" w:cs="Arial"/>
          <w:sz w:val="22"/>
          <w:szCs w:val="22"/>
          <w:lang w:val="fr-FR"/>
        </w:rPr>
        <w:t xml:space="preserve"> torsadés de 3x50mm</w:t>
      </w:r>
      <w:r w:rsidRPr="00156303">
        <w:rPr>
          <w:rFonts w:ascii="Arial" w:hAnsi="Arial" w:cs="Arial"/>
          <w:sz w:val="22"/>
          <w:szCs w:val="22"/>
          <w:vertAlign w:val="superscript"/>
          <w:lang w:val="fr-FR"/>
        </w:rPr>
        <w:t>2</w:t>
      </w:r>
      <w:r w:rsidRPr="00156303">
        <w:rPr>
          <w:rFonts w:ascii="Arial" w:hAnsi="Arial" w:cs="Arial"/>
          <w:sz w:val="22"/>
          <w:szCs w:val="22"/>
          <w:lang w:val="fr-FR"/>
        </w:rPr>
        <w:t>+1x54,6 mm</w:t>
      </w:r>
      <w:r w:rsidRPr="00156303">
        <w:rPr>
          <w:rFonts w:ascii="Arial" w:hAnsi="Arial" w:cs="Arial"/>
          <w:sz w:val="22"/>
          <w:szCs w:val="22"/>
          <w:vertAlign w:val="superscript"/>
          <w:lang w:val="fr-FR"/>
        </w:rPr>
        <w:t>2</w:t>
      </w:r>
      <w:r w:rsidRPr="00156303">
        <w:rPr>
          <w:rFonts w:ascii="Arial" w:hAnsi="Arial" w:cs="Arial"/>
          <w:sz w:val="22"/>
          <w:szCs w:val="22"/>
          <w:lang w:val="fr-FR"/>
        </w:rPr>
        <w:t>+1x16 mm² (3 x 35 mm²) et 3x70mm</w:t>
      </w:r>
      <w:r w:rsidRPr="00156303">
        <w:rPr>
          <w:rFonts w:ascii="Arial" w:hAnsi="Arial" w:cs="Arial"/>
          <w:sz w:val="22"/>
          <w:szCs w:val="22"/>
          <w:vertAlign w:val="superscript"/>
          <w:lang w:val="fr-FR"/>
        </w:rPr>
        <w:t>2</w:t>
      </w:r>
      <w:r w:rsidRPr="00156303">
        <w:rPr>
          <w:rFonts w:ascii="Arial" w:hAnsi="Arial" w:cs="Arial"/>
          <w:sz w:val="22"/>
          <w:szCs w:val="22"/>
          <w:lang w:val="fr-FR"/>
        </w:rPr>
        <w:t>+1x54,6 mm</w:t>
      </w:r>
      <w:r w:rsidRPr="00156303">
        <w:rPr>
          <w:rFonts w:ascii="Arial" w:hAnsi="Arial" w:cs="Arial"/>
          <w:sz w:val="22"/>
          <w:szCs w:val="22"/>
          <w:vertAlign w:val="superscript"/>
          <w:lang w:val="fr-FR"/>
        </w:rPr>
        <w:t>2</w:t>
      </w:r>
      <w:r w:rsidRPr="00156303">
        <w:rPr>
          <w:rFonts w:ascii="Arial" w:hAnsi="Arial" w:cs="Arial"/>
          <w:sz w:val="22"/>
          <w:szCs w:val="22"/>
          <w:lang w:val="fr-FR"/>
        </w:rPr>
        <w:t>+1x16 mm</w:t>
      </w:r>
      <w:r w:rsidRPr="00156303">
        <w:rPr>
          <w:rFonts w:ascii="Arial" w:hAnsi="Arial" w:cs="Arial"/>
          <w:sz w:val="22"/>
          <w:szCs w:val="22"/>
          <w:vertAlign w:val="superscript"/>
          <w:lang w:val="fr-FR"/>
        </w:rPr>
        <w:t>2</w:t>
      </w:r>
      <w:r w:rsidRPr="00156303">
        <w:rPr>
          <w:rFonts w:ascii="Arial" w:hAnsi="Arial" w:cs="Arial"/>
          <w:sz w:val="22"/>
          <w:szCs w:val="22"/>
          <w:lang w:val="fr-FR"/>
        </w:rPr>
        <w:t xml:space="preserve"> </w:t>
      </w:r>
    </w:p>
    <w:p w14:paraId="697DC8DE" w14:textId="77777777" w:rsidR="00136D81" w:rsidRPr="00156303" w:rsidRDefault="00136D81" w:rsidP="00136D81">
      <w:pPr>
        <w:pStyle w:val="BankNormal"/>
        <w:numPr>
          <w:ilvl w:val="0"/>
          <w:numId w:val="2"/>
        </w:numPr>
        <w:spacing w:after="0" w:line="276" w:lineRule="auto"/>
        <w:ind w:left="1134" w:hanging="357"/>
        <w:jc w:val="both"/>
        <w:rPr>
          <w:rFonts w:ascii="Arial" w:hAnsi="Arial" w:cs="Arial"/>
          <w:spacing w:val="-2"/>
          <w:sz w:val="22"/>
          <w:szCs w:val="22"/>
          <w:lang w:val="fr-FR"/>
        </w:rPr>
      </w:pPr>
      <w:r w:rsidRPr="00156303">
        <w:rPr>
          <w:rFonts w:ascii="Arial" w:hAnsi="Arial" w:cs="Arial"/>
          <w:sz w:val="22"/>
          <w:szCs w:val="22"/>
          <w:lang w:val="fr-FR"/>
        </w:rPr>
        <w:t xml:space="preserve">Pose de 625 </w:t>
      </w:r>
      <w:r>
        <w:rPr>
          <w:rFonts w:ascii="Arial" w:hAnsi="Arial" w:cs="Arial"/>
          <w:sz w:val="22"/>
          <w:szCs w:val="22"/>
          <w:lang w:val="fr-FR"/>
        </w:rPr>
        <w:t>l</w:t>
      </w:r>
      <w:r w:rsidRPr="00156303">
        <w:rPr>
          <w:rFonts w:ascii="Arial" w:hAnsi="Arial" w:cs="Arial"/>
          <w:sz w:val="22"/>
          <w:szCs w:val="22"/>
          <w:lang w:val="fr-FR"/>
        </w:rPr>
        <w:t>uminaires à LED d’une puissance de 100 W pour éclairage public</w:t>
      </w:r>
    </w:p>
    <w:p w14:paraId="198FD64D" w14:textId="77777777" w:rsidR="00136D81" w:rsidRPr="00156303" w:rsidRDefault="00136D81" w:rsidP="00136D81">
      <w:pPr>
        <w:pStyle w:val="BankNormal"/>
        <w:numPr>
          <w:ilvl w:val="0"/>
          <w:numId w:val="2"/>
        </w:numPr>
        <w:spacing w:after="0" w:line="276" w:lineRule="auto"/>
        <w:ind w:left="1134" w:hanging="357"/>
        <w:jc w:val="both"/>
        <w:rPr>
          <w:rFonts w:ascii="Arial" w:hAnsi="Arial" w:cs="Arial"/>
          <w:spacing w:val="-2"/>
          <w:sz w:val="22"/>
          <w:szCs w:val="22"/>
          <w:lang w:val="fr-FR"/>
        </w:rPr>
      </w:pPr>
      <w:r w:rsidRPr="00156303">
        <w:rPr>
          <w:rFonts w:ascii="Arial" w:hAnsi="Arial" w:cs="Arial"/>
          <w:sz w:val="22"/>
          <w:szCs w:val="22"/>
          <w:lang w:val="fr-FR"/>
        </w:rPr>
        <w:t>Fourniture de 2500 kits de branchements à prépaiement (avec compteurs) </w:t>
      </w:r>
    </w:p>
    <w:p w14:paraId="3E1CFFCB" w14:textId="77777777" w:rsidR="00136D81" w:rsidRPr="00C22A03" w:rsidRDefault="00136D81" w:rsidP="00136D81">
      <w:pPr>
        <w:pStyle w:val="BankNormal"/>
        <w:numPr>
          <w:ilvl w:val="0"/>
          <w:numId w:val="2"/>
        </w:numPr>
        <w:spacing w:after="0" w:line="276" w:lineRule="auto"/>
        <w:ind w:left="1134"/>
        <w:jc w:val="both"/>
        <w:rPr>
          <w:rFonts w:ascii="Arial" w:hAnsi="Arial" w:cs="Arial"/>
          <w:spacing w:val="-2"/>
          <w:sz w:val="22"/>
          <w:szCs w:val="22"/>
          <w:lang w:val="fr-FR"/>
        </w:rPr>
      </w:pPr>
      <w:r w:rsidRPr="00156303">
        <w:rPr>
          <w:rFonts w:ascii="Arial" w:hAnsi="Arial" w:cs="Arial"/>
          <w:sz w:val="22"/>
          <w:szCs w:val="22"/>
          <w:lang w:val="fr-FR"/>
        </w:rPr>
        <w:t>Pose d´au moins 750 kits de branchements à prépaiement dès la première année de construction.</w:t>
      </w:r>
    </w:p>
    <w:p w14:paraId="798DF4F2" w14:textId="77777777" w:rsidR="00136D81" w:rsidRPr="00156303" w:rsidRDefault="00136D81" w:rsidP="00136D81">
      <w:pPr>
        <w:pStyle w:val="BankNormal"/>
        <w:numPr>
          <w:ilvl w:val="0"/>
          <w:numId w:val="3"/>
        </w:numPr>
        <w:spacing w:after="60" w:line="276" w:lineRule="auto"/>
        <w:ind w:hanging="357"/>
        <w:jc w:val="both"/>
        <w:rPr>
          <w:rFonts w:ascii="Arial" w:hAnsi="Arial" w:cs="Arial"/>
          <w:spacing w:val="-2"/>
          <w:sz w:val="22"/>
          <w:szCs w:val="22"/>
          <w:lang w:val="fr-FR"/>
        </w:rPr>
      </w:pPr>
      <w:r w:rsidRPr="00156303">
        <w:rPr>
          <w:rFonts w:ascii="Arial" w:hAnsi="Arial" w:cs="Arial"/>
          <w:spacing w:val="-2"/>
          <w:sz w:val="22"/>
          <w:szCs w:val="22"/>
          <w:lang w:val="fr-FR"/>
        </w:rPr>
        <w:t xml:space="preserve">Lot 2 : </w:t>
      </w:r>
    </w:p>
    <w:p w14:paraId="55FADED3" w14:textId="77777777" w:rsidR="00136D81" w:rsidRPr="00156303" w:rsidRDefault="00136D81" w:rsidP="00136D81">
      <w:pPr>
        <w:pStyle w:val="BankNormal"/>
        <w:numPr>
          <w:ilvl w:val="0"/>
          <w:numId w:val="1"/>
        </w:numPr>
        <w:spacing w:after="0"/>
        <w:ind w:left="1134" w:hanging="357"/>
        <w:jc w:val="both"/>
        <w:rPr>
          <w:rFonts w:ascii="Arial" w:hAnsi="Arial" w:cs="Arial"/>
          <w:sz w:val="22"/>
          <w:szCs w:val="22"/>
          <w:lang w:val="fr-FR"/>
        </w:rPr>
      </w:pPr>
      <w:r w:rsidRPr="00156303">
        <w:rPr>
          <w:rFonts w:ascii="Arial" w:hAnsi="Arial" w:cs="Arial"/>
          <w:sz w:val="22"/>
          <w:szCs w:val="22"/>
          <w:lang w:val="fr-FR"/>
        </w:rPr>
        <w:t>Construction de 220 km de réseau moyenne tension (MT) aérien 33 kV en conducteur almélec nu de 54,6 mm² et 117 mm²</w:t>
      </w:r>
    </w:p>
    <w:p w14:paraId="144328AF" w14:textId="77777777" w:rsidR="00136D81" w:rsidRPr="00156303" w:rsidRDefault="00136D81" w:rsidP="00136D81">
      <w:pPr>
        <w:pStyle w:val="BankNormal"/>
        <w:numPr>
          <w:ilvl w:val="0"/>
          <w:numId w:val="1"/>
        </w:numPr>
        <w:spacing w:after="0"/>
        <w:ind w:left="1134" w:hanging="357"/>
        <w:jc w:val="both"/>
        <w:rPr>
          <w:rFonts w:ascii="Arial" w:hAnsi="Arial" w:cs="Arial"/>
          <w:spacing w:val="-2"/>
          <w:sz w:val="22"/>
          <w:szCs w:val="22"/>
          <w:lang w:val="fr-FR"/>
        </w:rPr>
      </w:pPr>
      <w:r w:rsidRPr="00156303">
        <w:rPr>
          <w:rFonts w:ascii="Arial" w:hAnsi="Arial" w:cs="Arial"/>
          <w:sz w:val="22"/>
          <w:szCs w:val="22"/>
          <w:lang w:val="fr-FR"/>
        </w:rPr>
        <w:t xml:space="preserve">Construction de 29 Postes de transformateur MT/BT </w:t>
      </w:r>
      <w:r>
        <w:rPr>
          <w:rFonts w:ascii="Arial" w:hAnsi="Arial" w:cs="Arial"/>
          <w:sz w:val="22"/>
          <w:szCs w:val="22"/>
          <w:lang w:val="fr-FR"/>
        </w:rPr>
        <w:t>de 50, 100 et 160 kVA</w:t>
      </w:r>
    </w:p>
    <w:p w14:paraId="6F7C87DB" w14:textId="77777777" w:rsidR="00136D81" w:rsidRPr="00156303" w:rsidRDefault="00136D81" w:rsidP="00136D81">
      <w:pPr>
        <w:pStyle w:val="BankNormal"/>
        <w:numPr>
          <w:ilvl w:val="0"/>
          <w:numId w:val="1"/>
        </w:numPr>
        <w:spacing w:after="0"/>
        <w:ind w:left="1134" w:hanging="357"/>
        <w:jc w:val="both"/>
        <w:rPr>
          <w:rFonts w:ascii="Arial" w:hAnsi="Arial" w:cs="Arial"/>
          <w:spacing w:val="-2"/>
          <w:sz w:val="22"/>
          <w:szCs w:val="22"/>
          <w:lang w:val="fr-FR"/>
        </w:rPr>
      </w:pPr>
      <w:r w:rsidRPr="00156303">
        <w:rPr>
          <w:rFonts w:ascii="Arial" w:hAnsi="Arial" w:cs="Arial"/>
          <w:sz w:val="22"/>
          <w:szCs w:val="22"/>
          <w:lang w:val="fr-FR"/>
        </w:rPr>
        <w:t xml:space="preserve">Construction de 92 km de réseau basse tension (BT) aérien en faisceaux de câbles </w:t>
      </w:r>
      <w:proofErr w:type="spellStart"/>
      <w:r w:rsidRPr="00156303">
        <w:rPr>
          <w:rFonts w:ascii="Arial" w:hAnsi="Arial" w:cs="Arial"/>
          <w:sz w:val="22"/>
          <w:szCs w:val="22"/>
          <w:lang w:val="fr-FR"/>
        </w:rPr>
        <w:t>pré-assemblés</w:t>
      </w:r>
      <w:proofErr w:type="spellEnd"/>
      <w:r w:rsidRPr="00156303">
        <w:rPr>
          <w:rFonts w:ascii="Arial" w:hAnsi="Arial" w:cs="Arial"/>
          <w:sz w:val="22"/>
          <w:szCs w:val="22"/>
          <w:lang w:val="fr-FR"/>
        </w:rPr>
        <w:t xml:space="preserve"> torsadés de 3x50mm</w:t>
      </w:r>
      <w:r w:rsidRPr="00156303">
        <w:rPr>
          <w:rFonts w:ascii="Arial" w:hAnsi="Arial" w:cs="Arial"/>
          <w:sz w:val="22"/>
          <w:szCs w:val="22"/>
          <w:vertAlign w:val="superscript"/>
          <w:lang w:val="fr-FR"/>
        </w:rPr>
        <w:t>2</w:t>
      </w:r>
      <w:r w:rsidRPr="00156303">
        <w:rPr>
          <w:rFonts w:ascii="Arial" w:hAnsi="Arial" w:cs="Arial"/>
          <w:sz w:val="22"/>
          <w:szCs w:val="22"/>
          <w:lang w:val="fr-FR"/>
        </w:rPr>
        <w:t>+1x54,6 mm</w:t>
      </w:r>
      <w:r w:rsidRPr="00156303">
        <w:rPr>
          <w:rFonts w:ascii="Arial" w:hAnsi="Arial" w:cs="Arial"/>
          <w:sz w:val="22"/>
          <w:szCs w:val="22"/>
          <w:vertAlign w:val="superscript"/>
          <w:lang w:val="fr-FR"/>
        </w:rPr>
        <w:t>2</w:t>
      </w:r>
      <w:r w:rsidRPr="00156303">
        <w:rPr>
          <w:rFonts w:ascii="Arial" w:hAnsi="Arial" w:cs="Arial"/>
          <w:sz w:val="22"/>
          <w:szCs w:val="22"/>
          <w:lang w:val="fr-FR"/>
        </w:rPr>
        <w:t>+1x16 mm² (3 x 35 mm²) et 3x70mm</w:t>
      </w:r>
      <w:r w:rsidRPr="00156303">
        <w:rPr>
          <w:rFonts w:ascii="Arial" w:hAnsi="Arial" w:cs="Arial"/>
          <w:sz w:val="22"/>
          <w:szCs w:val="22"/>
          <w:vertAlign w:val="superscript"/>
          <w:lang w:val="fr-FR"/>
        </w:rPr>
        <w:t>2</w:t>
      </w:r>
      <w:r w:rsidRPr="00156303">
        <w:rPr>
          <w:rFonts w:ascii="Arial" w:hAnsi="Arial" w:cs="Arial"/>
          <w:sz w:val="22"/>
          <w:szCs w:val="22"/>
          <w:lang w:val="fr-FR"/>
        </w:rPr>
        <w:t>+1x54,6 mm</w:t>
      </w:r>
      <w:r w:rsidRPr="00156303">
        <w:rPr>
          <w:rFonts w:ascii="Arial" w:hAnsi="Arial" w:cs="Arial"/>
          <w:sz w:val="22"/>
          <w:szCs w:val="22"/>
          <w:vertAlign w:val="superscript"/>
          <w:lang w:val="fr-FR"/>
        </w:rPr>
        <w:t>2</w:t>
      </w:r>
      <w:r w:rsidRPr="00156303">
        <w:rPr>
          <w:rFonts w:ascii="Arial" w:hAnsi="Arial" w:cs="Arial"/>
          <w:sz w:val="22"/>
          <w:szCs w:val="22"/>
          <w:lang w:val="fr-FR"/>
        </w:rPr>
        <w:t>+1x16 mm</w:t>
      </w:r>
      <w:r w:rsidRPr="00156303">
        <w:rPr>
          <w:rFonts w:ascii="Arial" w:hAnsi="Arial" w:cs="Arial"/>
          <w:sz w:val="22"/>
          <w:szCs w:val="22"/>
          <w:vertAlign w:val="superscript"/>
          <w:lang w:val="fr-FR"/>
        </w:rPr>
        <w:t>2</w:t>
      </w:r>
    </w:p>
    <w:p w14:paraId="1774C4F0" w14:textId="77777777" w:rsidR="00136D81" w:rsidRPr="00156303" w:rsidRDefault="00136D81" w:rsidP="00136D81">
      <w:pPr>
        <w:pStyle w:val="BankNormal"/>
        <w:numPr>
          <w:ilvl w:val="0"/>
          <w:numId w:val="1"/>
        </w:numPr>
        <w:spacing w:after="0"/>
        <w:ind w:left="1134" w:hanging="357"/>
        <w:jc w:val="both"/>
        <w:rPr>
          <w:rFonts w:ascii="Arial" w:hAnsi="Arial" w:cs="Arial"/>
          <w:spacing w:val="-2"/>
          <w:sz w:val="22"/>
          <w:szCs w:val="22"/>
          <w:lang w:val="fr-FR"/>
        </w:rPr>
      </w:pPr>
      <w:r w:rsidRPr="00156303">
        <w:rPr>
          <w:rFonts w:ascii="Arial" w:hAnsi="Arial" w:cs="Arial"/>
          <w:spacing w:val="-2"/>
          <w:sz w:val="22"/>
          <w:szCs w:val="22"/>
          <w:lang w:val="fr-FR"/>
        </w:rPr>
        <w:t xml:space="preserve">Pose de 625 </w:t>
      </w:r>
      <w:r>
        <w:rPr>
          <w:rFonts w:ascii="Arial" w:hAnsi="Arial" w:cs="Arial"/>
          <w:sz w:val="22"/>
          <w:szCs w:val="22"/>
          <w:lang w:val="fr-FR"/>
        </w:rPr>
        <w:t>l</w:t>
      </w:r>
      <w:r w:rsidRPr="00156303">
        <w:rPr>
          <w:rFonts w:ascii="Arial" w:hAnsi="Arial" w:cs="Arial"/>
          <w:sz w:val="22"/>
          <w:szCs w:val="22"/>
          <w:lang w:val="fr-FR"/>
        </w:rPr>
        <w:t>uminaires à LED d’une puissance de 100 W pour éclairage public</w:t>
      </w:r>
    </w:p>
    <w:p w14:paraId="75B3DFB6" w14:textId="77777777" w:rsidR="00136D81" w:rsidRPr="00156303" w:rsidRDefault="00136D81" w:rsidP="00136D81">
      <w:pPr>
        <w:pStyle w:val="BankNormal"/>
        <w:numPr>
          <w:ilvl w:val="0"/>
          <w:numId w:val="1"/>
        </w:numPr>
        <w:spacing w:after="0"/>
        <w:ind w:left="1134" w:hanging="357"/>
        <w:jc w:val="both"/>
        <w:rPr>
          <w:rFonts w:ascii="Arial" w:hAnsi="Arial" w:cs="Arial"/>
          <w:spacing w:val="-2"/>
          <w:sz w:val="22"/>
          <w:szCs w:val="22"/>
          <w:lang w:val="fr-FR"/>
        </w:rPr>
      </w:pPr>
      <w:r w:rsidRPr="00156303">
        <w:rPr>
          <w:rFonts w:ascii="Arial" w:hAnsi="Arial" w:cs="Arial"/>
          <w:sz w:val="22"/>
          <w:szCs w:val="22"/>
          <w:lang w:val="fr-FR"/>
        </w:rPr>
        <w:t xml:space="preserve">Fourniture de 2500 kits de </w:t>
      </w:r>
      <w:r>
        <w:rPr>
          <w:rFonts w:ascii="Arial" w:hAnsi="Arial" w:cs="Arial"/>
          <w:sz w:val="22"/>
          <w:szCs w:val="22"/>
          <w:lang w:val="fr-FR"/>
        </w:rPr>
        <w:t>b</w:t>
      </w:r>
      <w:r w:rsidRPr="00156303">
        <w:rPr>
          <w:rFonts w:ascii="Arial" w:hAnsi="Arial" w:cs="Arial"/>
          <w:sz w:val="22"/>
          <w:szCs w:val="22"/>
          <w:lang w:val="fr-FR"/>
        </w:rPr>
        <w:t>ranchements à prépaiement (avec compteurs) </w:t>
      </w:r>
    </w:p>
    <w:p w14:paraId="109A2F9F" w14:textId="77777777" w:rsidR="00136D81" w:rsidRPr="005B1EFF" w:rsidRDefault="00136D81" w:rsidP="00136D81">
      <w:pPr>
        <w:pStyle w:val="BankNormal"/>
        <w:numPr>
          <w:ilvl w:val="0"/>
          <w:numId w:val="1"/>
        </w:numPr>
        <w:spacing w:after="0"/>
        <w:ind w:left="1134"/>
        <w:jc w:val="both"/>
        <w:rPr>
          <w:rFonts w:ascii="Arial" w:hAnsi="Arial" w:cs="Arial"/>
          <w:spacing w:val="-2"/>
          <w:sz w:val="22"/>
          <w:szCs w:val="22"/>
          <w:lang w:val="fr-FR"/>
        </w:rPr>
      </w:pPr>
      <w:r w:rsidRPr="00156303">
        <w:rPr>
          <w:rFonts w:ascii="Arial" w:hAnsi="Arial" w:cs="Arial"/>
          <w:sz w:val="22"/>
          <w:szCs w:val="22"/>
          <w:lang w:val="fr-FR"/>
        </w:rPr>
        <w:t>Pose d´au moins 750 kits de branchements à prépaiement dès la première année de construction</w:t>
      </w:r>
    </w:p>
    <w:p w14:paraId="1520D150" w14:textId="77777777" w:rsidR="00136D81" w:rsidRDefault="00136D81" w:rsidP="00136D81">
      <w:pPr>
        <w:spacing w:before="120"/>
        <w:ind w:left="284"/>
        <w:textAlignment w:val="auto"/>
        <w:rPr>
          <w:rFonts w:ascii="Arial" w:hAnsi="Arial" w:cs="Arial"/>
          <w:sz w:val="22"/>
        </w:rPr>
        <w:sectPr w:rsidR="00136D81" w:rsidSect="00136D81">
          <w:footerReference w:type="default" r:id="rId7"/>
          <w:pgSz w:w="11906" w:h="16838" w:code="9"/>
          <w:pgMar w:top="2552" w:right="1134" w:bottom="567" w:left="1418" w:header="709" w:footer="284" w:gutter="0"/>
          <w:cols w:space="708"/>
          <w:docGrid w:linePitch="360"/>
        </w:sectPr>
      </w:pPr>
    </w:p>
    <w:p w14:paraId="270AA482" w14:textId="77777777" w:rsidR="00136D81" w:rsidRPr="006D31B9" w:rsidRDefault="00136D81" w:rsidP="00136D81">
      <w:pPr>
        <w:spacing w:before="120"/>
        <w:ind w:left="284"/>
        <w:textAlignment w:val="auto"/>
        <w:rPr>
          <w:rFonts w:ascii="Arial" w:hAnsi="Arial" w:cs="Arial"/>
          <w:sz w:val="22"/>
        </w:rPr>
      </w:pPr>
      <w:r w:rsidRPr="00ED3735">
        <w:rPr>
          <w:rFonts w:ascii="Arial" w:hAnsi="Arial" w:cs="Arial"/>
          <w:sz w:val="22"/>
        </w:rPr>
        <w:lastRenderedPageBreak/>
        <w:t xml:space="preserve">Le délai d’exécution est </w:t>
      </w:r>
      <w:r w:rsidRPr="006D31B9">
        <w:rPr>
          <w:rFonts w:ascii="Arial" w:hAnsi="Arial" w:cs="Arial"/>
          <w:sz w:val="22"/>
        </w:rPr>
        <w:t xml:space="preserve">de </w:t>
      </w:r>
      <w:r w:rsidRPr="0067633E">
        <w:rPr>
          <w:rFonts w:ascii="Arial" w:hAnsi="Arial" w:cs="Arial"/>
          <w:b/>
          <w:bCs/>
          <w:sz w:val="22"/>
        </w:rPr>
        <w:t>d</w:t>
      </w:r>
      <w:r w:rsidRPr="006D31B9">
        <w:rPr>
          <w:rFonts w:ascii="Arial" w:hAnsi="Arial" w:cs="Arial"/>
          <w:b/>
          <w:bCs/>
          <w:sz w:val="22"/>
        </w:rPr>
        <w:t>ix (10) mois par lot</w:t>
      </w:r>
      <w:r w:rsidRPr="006D31B9">
        <w:rPr>
          <w:rFonts w:ascii="Arial" w:hAnsi="Arial" w:cs="Arial"/>
          <w:sz w:val="22"/>
        </w:rPr>
        <w:t xml:space="preserve"> </w:t>
      </w:r>
      <w:r w:rsidRPr="006D31B9">
        <w:rPr>
          <w:rFonts w:ascii="Arial" w:hAnsi="Arial" w:cs="Arial"/>
          <w:bCs/>
          <w:iCs/>
          <w:sz w:val="22"/>
        </w:rPr>
        <w:t>à</w:t>
      </w:r>
      <w:r w:rsidRPr="006D31B9">
        <w:rPr>
          <w:rFonts w:ascii="Arial" w:hAnsi="Arial" w:cs="Arial"/>
          <w:sz w:val="22"/>
        </w:rPr>
        <w:t xml:space="preserve"> compter de la date de notification de l’ordre de service de démarrage des travaux. Les variantes ne sont pas autorisées</w:t>
      </w:r>
    </w:p>
    <w:p w14:paraId="5E55DCC7" w14:textId="77777777" w:rsidR="00136D81" w:rsidRPr="006D31B9" w:rsidRDefault="00136D81" w:rsidP="00136D81">
      <w:pPr>
        <w:textAlignment w:val="auto"/>
        <w:rPr>
          <w:b/>
          <w:bCs/>
          <w:i/>
          <w:color w:val="FF0000"/>
        </w:rPr>
      </w:pPr>
    </w:p>
    <w:p w14:paraId="1F03980F" w14:textId="77777777" w:rsidR="00136D81" w:rsidRPr="009F2306" w:rsidRDefault="00136D81" w:rsidP="00136D81">
      <w:pPr>
        <w:pStyle w:val="Paragraphedeliste"/>
        <w:numPr>
          <w:ilvl w:val="0"/>
          <w:numId w:val="7"/>
        </w:numPr>
        <w:spacing w:line="276" w:lineRule="auto"/>
        <w:ind w:left="284" w:hanging="284"/>
        <w:textAlignment w:val="auto"/>
        <w:rPr>
          <w:rFonts w:ascii="Arial" w:hAnsi="Arial" w:cs="Arial"/>
          <w:bCs/>
          <w:iCs/>
          <w:sz w:val="22"/>
        </w:rPr>
      </w:pPr>
      <w:r w:rsidRPr="006D31B9">
        <w:rPr>
          <w:rFonts w:ascii="Arial" w:hAnsi="Arial" w:cs="Arial"/>
          <w:sz w:val="22"/>
        </w:rPr>
        <w:t xml:space="preserve">La procédure d’appel d’offres sera l’Appel d’Offres International (AOI) tel que défini dans les Directives pour l’acquisition de Biens, Travaux et Services connexes dans le cadre de Projets financés par la </w:t>
      </w:r>
      <w:proofErr w:type="spellStart"/>
      <w:r w:rsidRPr="006D31B9">
        <w:rPr>
          <w:rFonts w:ascii="Arial" w:hAnsi="Arial" w:cs="Arial"/>
          <w:sz w:val="22"/>
        </w:rPr>
        <w:t>BIsD</w:t>
      </w:r>
      <w:proofErr w:type="spellEnd"/>
      <w:r w:rsidRPr="006D31B9">
        <w:rPr>
          <w:rFonts w:ascii="Arial" w:hAnsi="Arial" w:cs="Arial"/>
          <w:sz w:val="22"/>
        </w:rPr>
        <w:t>, Avril 2019, (les « Directives »), et ouverte à tous les soumissionnaires de pays éligibles tels que</w:t>
      </w:r>
      <w:r w:rsidRPr="00D846C3">
        <w:rPr>
          <w:rFonts w:ascii="Arial" w:hAnsi="Arial" w:cs="Arial"/>
          <w:sz w:val="22"/>
        </w:rPr>
        <w:t xml:space="preserve"> définis dans les Directives. Les candidats éventuels sont également invités à prendre connaissance des Clauses 1.18 à 1.21 de ces Directives concernant les règles de la </w:t>
      </w:r>
      <w:proofErr w:type="spellStart"/>
      <w:r w:rsidRPr="00D846C3">
        <w:rPr>
          <w:rFonts w:ascii="Arial" w:hAnsi="Arial" w:cs="Arial"/>
          <w:sz w:val="22"/>
        </w:rPr>
        <w:t>BIsD</w:t>
      </w:r>
      <w:proofErr w:type="spellEnd"/>
      <w:r w:rsidRPr="00D846C3">
        <w:rPr>
          <w:rFonts w:ascii="Arial" w:hAnsi="Arial" w:cs="Arial"/>
          <w:sz w:val="22"/>
        </w:rPr>
        <w:t xml:space="preserve"> portant sur les conflits d’intérêt.</w:t>
      </w:r>
    </w:p>
    <w:p w14:paraId="67ED4227" w14:textId="77777777" w:rsidR="00136D81" w:rsidRPr="009F2306" w:rsidRDefault="00136D81" w:rsidP="00136D81">
      <w:pPr>
        <w:pStyle w:val="Paragraphedeliste"/>
        <w:ind w:left="862"/>
        <w:textAlignment w:val="auto"/>
        <w:rPr>
          <w:bCs/>
          <w:iCs/>
          <w:sz w:val="22"/>
        </w:rPr>
      </w:pPr>
    </w:p>
    <w:p w14:paraId="140FAFAE" w14:textId="77777777" w:rsidR="00136D81" w:rsidRPr="009A187A" w:rsidRDefault="00136D81" w:rsidP="00136D81">
      <w:pPr>
        <w:spacing w:line="276" w:lineRule="auto"/>
        <w:ind w:left="284" w:hanging="284"/>
        <w:textAlignment w:val="auto"/>
        <w:rPr>
          <w:rFonts w:ascii="Arial" w:hAnsi="Arial" w:cs="Arial"/>
          <w:bCs/>
          <w:iCs/>
          <w:sz w:val="22"/>
        </w:rPr>
      </w:pPr>
      <w:r>
        <w:rPr>
          <w:rFonts w:ascii="Arial" w:hAnsi="Arial" w:cs="Arial"/>
          <w:bCs/>
          <w:iCs/>
          <w:sz w:val="22"/>
        </w:rPr>
        <w:t>3.</w:t>
      </w:r>
      <w:r w:rsidRPr="00D846C3">
        <w:rPr>
          <w:rFonts w:ascii="Arial" w:hAnsi="Arial" w:cs="Arial"/>
          <w:bCs/>
          <w:iCs/>
          <w:sz w:val="22"/>
        </w:rPr>
        <w:tab/>
        <w:t xml:space="preserve">Les soumissionnaires éligibles et intéressés peuvent obtenir des informations et prendre connaissance des documents d’Appel d’offres auprès de </w:t>
      </w:r>
      <w:r w:rsidRPr="009A187A">
        <w:rPr>
          <w:rFonts w:ascii="Arial" w:hAnsi="Arial" w:cs="Arial"/>
          <w:bCs/>
          <w:iCs/>
          <w:sz w:val="22"/>
        </w:rPr>
        <w:t>la Personne Responsable des Marchés Publics de la Compagnie Energie Electrique du Togo</w:t>
      </w:r>
      <w:r w:rsidRPr="00ED3735">
        <w:rPr>
          <w:rFonts w:ascii="Arial" w:hAnsi="Arial" w:cs="Arial"/>
          <w:bCs/>
          <w:iCs/>
          <w:sz w:val="22"/>
        </w:rPr>
        <w:t xml:space="preserve"> </w:t>
      </w:r>
      <w:r w:rsidRPr="009A187A">
        <w:rPr>
          <w:rFonts w:ascii="Arial" w:hAnsi="Arial" w:cs="Arial"/>
          <w:bCs/>
          <w:iCs/>
          <w:sz w:val="22"/>
        </w:rPr>
        <w:t>tous les jours ouvrables de 9h00 min à 12 h 00 min et de 15 h 00 min à 17 h 00 min, à l’adresse mentionnée ci-après:</w:t>
      </w:r>
    </w:p>
    <w:p w14:paraId="38D37410" w14:textId="77777777" w:rsidR="00136D81" w:rsidRPr="009A187A" w:rsidRDefault="00136D81" w:rsidP="00136D81">
      <w:pPr>
        <w:spacing w:line="276" w:lineRule="auto"/>
        <w:textAlignment w:val="auto"/>
        <w:rPr>
          <w:rFonts w:ascii="Arial" w:hAnsi="Arial" w:cs="Arial"/>
          <w:bCs/>
          <w:iCs/>
          <w:sz w:val="22"/>
        </w:rPr>
      </w:pPr>
    </w:p>
    <w:p w14:paraId="23185917" w14:textId="77777777" w:rsidR="00136D81" w:rsidRPr="009A187A" w:rsidRDefault="00136D81" w:rsidP="00A74CC3">
      <w:pPr>
        <w:spacing w:line="276" w:lineRule="auto"/>
        <w:ind w:left="1418"/>
        <w:textAlignment w:val="auto"/>
        <w:rPr>
          <w:rFonts w:ascii="Arial" w:hAnsi="Arial" w:cs="Arial"/>
          <w:bCs/>
          <w:iCs/>
          <w:sz w:val="22"/>
        </w:rPr>
      </w:pPr>
      <w:r w:rsidRPr="009A187A">
        <w:rPr>
          <w:rFonts w:ascii="Arial" w:hAnsi="Arial" w:cs="Arial"/>
          <w:bCs/>
          <w:iCs/>
          <w:sz w:val="22"/>
        </w:rPr>
        <w:t>Personne Responsable des Marchés Publics</w:t>
      </w:r>
    </w:p>
    <w:p w14:paraId="781E8192" w14:textId="77777777" w:rsidR="00136D81" w:rsidRPr="009A187A" w:rsidRDefault="00136D81" w:rsidP="00A74CC3">
      <w:pPr>
        <w:spacing w:line="276" w:lineRule="auto"/>
        <w:ind w:left="1418"/>
        <w:textAlignment w:val="auto"/>
        <w:rPr>
          <w:rFonts w:ascii="Arial" w:hAnsi="Arial" w:cs="Arial"/>
          <w:bCs/>
          <w:iCs/>
          <w:sz w:val="22"/>
        </w:rPr>
      </w:pPr>
      <w:r w:rsidRPr="009A187A">
        <w:rPr>
          <w:rFonts w:ascii="Arial" w:hAnsi="Arial" w:cs="Arial"/>
          <w:bCs/>
          <w:iCs/>
          <w:sz w:val="22"/>
        </w:rPr>
        <w:t xml:space="preserve">Rue : 426, Avenue MAMA </w:t>
      </w:r>
      <w:proofErr w:type="spellStart"/>
      <w:r w:rsidRPr="009A187A">
        <w:rPr>
          <w:rFonts w:ascii="Arial" w:hAnsi="Arial" w:cs="Arial"/>
          <w:bCs/>
          <w:iCs/>
          <w:sz w:val="22"/>
        </w:rPr>
        <w:t>Fousséni</w:t>
      </w:r>
      <w:proofErr w:type="spellEnd"/>
    </w:p>
    <w:p w14:paraId="455DC369" w14:textId="77777777" w:rsidR="00136D81" w:rsidRPr="009A187A" w:rsidRDefault="00136D81" w:rsidP="00A74CC3">
      <w:pPr>
        <w:spacing w:line="276" w:lineRule="auto"/>
        <w:ind w:left="1418"/>
        <w:textAlignment w:val="auto"/>
        <w:rPr>
          <w:rFonts w:ascii="Arial" w:hAnsi="Arial" w:cs="Arial"/>
          <w:bCs/>
          <w:iCs/>
          <w:sz w:val="22"/>
        </w:rPr>
      </w:pPr>
      <w:r w:rsidRPr="009A187A">
        <w:rPr>
          <w:rFonts w:ascii="Arial" w:hAnsi="Arial" w:cs="Arial"/>
          <w:bCs/>
          <w:iCs/>
          <w:sz w:val="22"/>
        </w:rPr>
        <w:t xml:space="preserve">Secrétariat du Département Passation des Marchés et Achats (DPMA) </w:t>
      </w:r>
    </w:p>
    <w:p w14:paraId="391E7946" w14:textId="77777777" w:rsidR="00136D81" w:rsidRPr="009A187A" w:rsidRDefault="00136D81" w:rsidP="00A74CC3">
      <w:pPr>
        <w:spacing w:line="276" w:lineRule="auto"/>
        <w:ind w:left="1418"/>
        <w:textAlignment w:val="auto"/>
        <w:rPr>
          <w:rFonts w:ascii="Arial" w:hAnsi="Arial" w:cs="Arial"/>
          <w:bCs/>
          <w:iCs/>
          <w:sz w:val="22"/>
        </w:rPr>
      </w:pPr>
      <w:r w:rsidRPr="009A187A">
        <w:rPr>
          <w:rFonts w:ascii="Arial" w:hAnsi="Arial" w:cs="Arial"/>
          <w:bCs/>
          <w:iCs/>
          <w:sz w:val="22"/>
        </w:rPr>
        <w:t xml:space="preserve">Rue : 426, Avenue MAMA </w:t>
      </w:r>
      <w:proofErr w:type="spellStart"/>
      <w:r w:rsidRPr="009A187A">
        <w:rPr>
          <w:rFonts w:ascii="Arial" w:hAnsi="Arial" w:cs="Arial"/>
          <w:bCs/>
          <w:iCs/>
          <w:sz w:val="22"/>
        </w:rPr>
        <w:t>Fousséni</w:t>
      </w:r>
      <w:proofErr w:type="spellEnd"/>
    </w:p>
    <w:p w14:paraId="611F3C02" w14:textId="77777777" w:rsidR="00136D81" w:rsidRPr="009A187A" w:rsidRDefault="00136D81" w:rsidP="00A74CC3">
      <w:pPr>
        <w:spacing w:line="276" w:lineRule="auto"/>
        <w:ind w:left="1418"/>
        <w:textAlignment w:val="auto"/>
        <w:rPr>
          <w:rFonts w:ascii="Arial" w:hAnsi="Arial" w:cs="Arial"/>
          <w:bCs/>
          <w:iCs/>
          <w:sz w:val="22"/>
        </w:rPr>
      </w:pPr>
      <w:r w:rsidRPr="009A187A">
        <w:rPr>
          <w:rFonts w:ascii="Arial" w:hAnsi="Arial" w:cs="Arial"/>
          <w:bCs/>
          <w:iCs/>
          <w:sz w:val="22"/>
        </w:rPr>
        <w:t>Ville : Lomé</w:t>
      </w:r>
    </w:p>
    <w:p w14:paraId="064E00CE" w14:textId="77777777" w:rsidR="00136D81" w:rsidRPr="009A187A" w:rsidRDefault="00136D81" w:rsidP="00A74CC3">
      <w:pPr>
        <w:spacing w:line="276" w:lineRule="auto"/>
        <w:ind w:left="1418"/>
        <w:textAlignment w:val="auto"/>
        <w:rPr>
          <w:rFonts w:ascii="Arial" w:hAnsi="Arial" w:cs="Arial"/>
          <w:bCs/>
          <w:iCs/>
          <w:sz w:val="22"/>
        </w:rPr>
      </w:pPr>
      <w:r w:rsidRPr="009A187A">
        <w:rPr>
          <w:rFonts w:ascii="Arial" w:hAnsi="Arial" w:cs="Arial"/>
          <w:bCs/>
          <w:iCs/>
          <w:sz w:val="22"/>
        </w:rPr>
        <w:t xml:space="preserve">Boîte postale : 42 </w:t>
      </w:r>
    </w:p>
    <w:p w14:paraId="79819DC6" w14:textId="77777777" w:rsidR="00136D81" w:rsidRPr="009A187A" w:rsidRDefault="00136D81" w:rsidP="00A74CC3">
      <w:pPr>
        <w:spacing w:line="276" w:lineRule="auto"/>
        <w:ind w:left="1418"/>
        <w:textAlignment w:val="auto"/>
        <w:rPr>
          <w:rFonts w:ascii="Arial" w:hAnsi="Arial" w:cs="Arial"/>
          <w:bCs/>
          <w:iCs/>
          <w:sz w:val="22"/>
        </w:rPr>
      </w:pPr>
      <w:r w:rsidRPr="009A187A">
        <w:rPr>
          <w:rFonts w:ascii="Arial" w:hAnsi="Arial" w:cs="Arial"/>
          <w:bCs/>
          <w:iCs/>
          <w:sz w:val="22"/>
        </w:rPr>
        <w:t>Pays : TOGO</w:t>
      </w:r>
    </w:p>
    <w:p w14:paraId="7C8EA4F2" w14:textId="77777777" w:rsidR="00136D81" w:rsidRPr="009A187A" w:rsidRDefault="00136D81" w:rsidP="00A74CC3">
      <w:pPr>
        <w:spacing w:line="276" w:lineRule="auto"/>
        <w:ind w:left="1418"/>
        <w:textAlignment w:val="auto"/>
        <w:rPr>
          <w:rFonts w:ascii="Arial" w:hAnsi="Arial" w:cs="Arial"/>
          <w:bCs/>
          <w:iCs/>
          <w:sz w:val="22"/>
        </w:rPr>
      </w:pPr>
      <w:r w:rsidRPr="009A187A">
        <w:rPr>
          <w:rFonts w:ascii="Arial" w:hAnsi="Arial" w:cs="Arial"/>
          <w:bCs/>
          <w:iCs/>
          <w:sz w:val="22"/>
        </w:rPr>
        <w:t xml:space="preserve">Numéro de téléphone : +228 22 21 37 74 </w:t>
      </w:r>
    </w:p>
    <w:p w14:paraId="075AC709" w14:textId="46F3303A" w:rsidR="00136D81" w:rsidRDefault="00136D81" w:rsidP="00A74CC3">
      <w:pPr>
        <w:spacing w:line="276" w:lineRule="auto"/>
        <w:ind w:left="1418"/>
        <w:textAlignment w:val="auto"/>
        <w:rPr>
          <w:rFonts w:ascii="Arial" w:hAnsi="Arial" w:cs="Arial"/>
          <w:bCs/>
          <w:iCs/>
          <w:sz w:val="22"/>
        </w:rPr>
      </w:pPr>
      <w:r w:rsidRPr="009A187A">
        <w:rPr>
          <w:rFonts w:ascii="Arial" w:hAnsi="Arial" w:cs="Arial"/>
          <w:bCs/>
          <w:iCs/>
          <w:sz w:val="22"/>
        </w:rPr>
        <w:t>Numéro de télécopie : +228 22 21 64 98</w:t>
      </w:r>
    </w:p>
    <w:p w14:paraId="7A8E0BD7" w14:textId="73FE4650" w:rsidR="00A74CC3" w:rsidRPr="009A187A" w:rsidRDefault="00A74CC3" w:rsidP="00A74CC3">
      <w:pPr>
        <w:spacing w:line="276" w:lineRule="auto"/>
        <w:ind w:left="1418"/>
        <w:textAlignment w:val="auto"/>
        <w:rPr>
          <w:rFonts w:ascii="Arial" w:hAnsi="Arial" w:cs="Arial"/>
          <w:bCs/>
          <w:iCs/>
          <w:sz w:val="22"/>
        </w:rPr>
      </w:pPr>
      <w:r>
        <w:rPr>
          <w:rFonts w:ascii="Arial" w:hAnsi="Arial" w:cs="Arial"/>
          <w:bCs/>
          <w:iCs/>
          <w:sz w:val="22"/>
        </w:rPr>
        <w:t xml:space="preserve">Adresse électronique : </w:t>
      </w:r>
      <w:hyperlink r:id="rId8" w:history="1">
        <w:r w:rsidRPr="00CB0E89">
          <w:rPr>
            <w:rStyle w:val="Lienhypertexte"/>
            <w:rFonts w:ascii="Arial" w:hAnsi="Arial" w:cs="Arial"/>
            <w:bCs/>
            <w:iCs/>
            <w:sz w:val="22"/>
          </w:rPr>
          <w:t>prmp@ceet.tg</w:t>
        </w:r>
      </w:hyperlink>
      <w:r>
        <w:rPr>
          <w:rFonts w:ascii="Arial" w:hAnsi="Arial" w:cs="Arial"/>
          <w:bCs/>
          <w:iCs/>
          <w:sz w:val="22"/>
        </w:rPr>
        <w:t xml:space="preserve"> ; </w:t>
      </w:r>
      <w:hyperlink r:id="rId9" w:history="1">
        <w:r w:rsidRPr="00CB0E89">
          <w:rPr>
            <w:rStyle w:val="Lienhypertexte"/>
            <w:rFonts w:ascii="Arial" w:hAnsi="Arial" w:cs="Arial"/>
            <w:bCs/>
            <w:iCs/>
            <w:sz w:val="22"/>
          </w:rPr>
          <w:t>yaovi.attignon@ceet.tg</w:t>
        </w:r>
      </w:hyperlink>
      <w:r>
        <w:rPr>
          <w:rFonts w:ascii="Arial" w:hAnsi="Arial" w:cs="Arial"/>
          <w:bCs/>
          <w:iCs/>
          <w:sz w:val="22"/>
        </w:rPr>
        <w:t xml:space="preserve"> ; </w:t>
      </w:r>
      <w:hyperlink r:id="rId10" w:history="1">
        <w:r w:rsidRPr="00CB0E89">
          <w:rPr>
            <w:rStyle w:val="Lienhypertexte"/>
            <w:rFonts w:ascii="Arial" w:hAnsi="Arial" w:cs="Arial"/>
            <w:bCs/>
            <w:iCs/>
            <w:sz w:val="22"/>
          </w:rPr>
          <w:t>dpma@ceet.tg</w:t>
        </w:r>
      </w:hyperlink>
      <w:r>
        <w:rPr>
          <w:rFonts w:ascii="Arial" w:hAnsi="Arial" w:cs="Arial"/>
          <w:bCs/>
          <w:iCs/>
          <w:sz w:val="22"/>
        </w:rPr>
        <w:t xml:space="preserve"> </w:t>
      </w:r>
    </w:p>
    <w:p w14:paraId="40926622" w14:textId="77777777" w:rsidR="00136D81" w:rsidRDefault="00136D81" w:rsidP="00136D81">
      <w:pPr>
        <w:spacing w:line="360" w:lineRule="auto"/>
        <w:textAlignment w:val="auto"/>
        <w:rPr>
          <w:rFonts w:ascii="Arial" w:hAnsi="Arial" w:cs="Arial"/>
          <w:bCs/>
          <w:iCs/>
          <w:sz w:val="22"/>
        </w:rPr>
      </w:pPr>
    </w:p>
    <w:p w14:paraId="4B64F33A" w14:textId="77777777" w:rsidR="00136D81" w:rsidRPr="00ED3735" w:rsidRDefault="00136D81" w:rsidP="00136D81">
      <w:pPr>
        <w:spacing w:line="276" w:lineRule="auto"/>
        <w:ind w:left="284" w:hanging="284"/>
        <w:textAlignment w:val="auto"/>
        <w:rPr>
          <w:rFonts w:ascii="Arial" w:hAnsi="Arial" w:cs="Arial"/>
          <w:bCs/>
          <w:iCs/>
          <w:sz w:val="22"/>
        </w:rPr>
      </w:pPr>
      <w:r>
        <w:rPr>
          <w:rFonts w:ascii="Arial" w:hAnsi="Arial" w:cs="Arial"/>
          <w:bCs/>
          <w:iCs/>
          <w:sz w:val="22"/>
        </w:rPr>
        <w:t>4</w:t>
      </w:r>
      <w:r w:rsidRPr="00ED3735">
        <w:rPr>
          <w:rFonts w:ascii="Arial" w:hAnsi="Arial" w:cs="Arial"/>
          <w:bCs/>
          <w:iCs/>
          <w:sz w:val="22"/>
        </w:rPr>
        <w:t>.</w:t>
      </w:r>
      <w:r w:rsidRPr="00ED3735">
        <w:rPr>
          <w:rFonts w:ascii="Arial" w:hAnsi="Arial" w:cs="Arial"/>
          <w:bCs/>
          <w:iCs/>
          <w:sz w:val="22"/>
        </w:rPr>
        <w:tab/>
        <w:t>Les soumissionnaires</w:t>
      </w:r>
      <w:r>
        <w:rPr>
          <w:rFonts w:ascii="Arial" w:hAnsi="Arial" w:cs="Arial"/>
          <w:bCs/>
          <w:iCs/>
          <w:sz w:val="22"/>
        </w:rPr>
        <w:t xml:space="preserve"> </w:t>
      </w:r>
      <w:r w:rsidRPr="00ED3735">
        <w:rPr>
          <w:rFonts w:ascii="Arial" w:hAnsi="Arial" w:cs="Arial"/>
          <w:bCs/>
          <w:iCs/>
          <w:sz w:val="22"/>
        </w:rPr>
        <w:t xml:space="preserve">intéressés peuvent acheter un jeu complet du Dossier d’Appel d’Offres en Français en faisant la demande écrite à l’adresse indiquée ci-après accompagnée du </w:t>
      </w:r>
      <w:r w:rsidRPr="001D3782">
        <w:rPr>
          <w:rFonts w:ascii="Arial" w:hAnsi="Arial" w:cs="Arial"/>
          <w:b/>
          <w:bCs/>
          <w:iCs/>
          <w:sz w:val="22"/>
        </w:rPr>
        <w:t>versement non remboursable</w:t>
      </w:r>
      <w:r w:rsidRPr="00ED3735">
        <w:rPr>
          <w:rFonts w:ascii="Arial" w:hAnsi="Arial" w:cs="Arial"/>
          <w:bCs/>
          <w:iCs/>
          <w:sz w:val="22"/>
        </w:rPr>
        <w:t xml:space="preserve"> de </w:t>
      </w:r>
      <w:r w:rsidRPr="001D3782">
        <w:rPr>
          <w:rFonts w:ascii="Arial" w:hAnsi="Arial" w:cs="Arial"/>
          <w:b/>
          <w:bCs/>
          <w:iCs/>
          <w:sz w:val="22"/>
        </w:rPr>
        <w:t>cent mille (100 000) Francs CFA</w:t>
      </w:r>
      <w:r w:rsidRPr="00ED3735">
        <w:rPr>
          <w:rFonts w:ascii="Arial" w:hAnsi="Arial" w:cs="Arial"/>
          <w:bCs/>
          <w:iCs/>
          <w:sz w:val="22"/>
        </w:rPr>
        <w:t xml:space="preserve"> </w:t>
      </w:r>
      <w:r w:rsidRPr="001D3782">
        <w:rPr>
          <w:rFonts w:ascii="Arial" w:hAnsi="Arial" w:cs="Arial"/>
          <w:b/>
          <w:bCs/>
          <w:iCs/>
          <w:sz w:val="22"/>
        </w:rPr>
        <w:t>ou deux cent (200) Euros.</w:t>
      </w:r>
      <w:r w:rsidRPr="00ED3735">
        <w:rPr>
          <w:rFonts w:ascii="Arial" w:hAnsi="Arial" w:cs="Arial"/>
          <w:bCs/>
          <w:iCs/>
          <w:sz w:val="22"/>
        </w:rPr>
        <w:t xml:space="preserve"> </w:t>
      </w:r>
      <w:r w:rsidRPr="003B0C22">
        <w:rPr>
          <w:rFonts w:ascii="Arial" w:hAnsi="Arial" w:cs="Arial"/>
          <w:b/>
          <w:bCs/>
          <w:iCs/>
          <w:sz w:val="22"/>
        </w:rPr>
        <w:t>Le montant à payer sera versé sur le numéro de compte TG 133 01 001 0 222 507 00 113 33, SWIFT BSAHTGTG : intitulé CEET DAO et ouvert dans les livres de la Banque Sahélo-saharienne pour l’Investissement et le Commerce (BSIC) Togo SA</w:t>
      </w:r>
      <w:r w:rsidRPr="00ED3735">
        <w:rPr>
          <w:rFonts w:ascii="Arial" w:hAnsi="Arial" w:cs="Arial"/>
          <w:bCs/>
          <w:iCs/>
          <w:sz w:val="22"/>
        </w:rPr>
        <w:t>. Le paiement pourra se faire aussi par espèce au Département Passation des Marchés et Achats (DPMA) de la CEET.</w:t>
      </w:r>
    </w:p>
    <w:p w14:paraId="7AD3DFD8" w14:textId="77777777" w:rsidR="00136D81" w:rsidRDefault="00136D81" w:rsidP="00136D81">
      <w:pPr>
        <w:spacing w:line="276" w:lineRule="auto"/>
        <w:textAlignment w:val="auto"/>
        <w:rPr>
          <w:rFonts w:ascii="Arial" w:hAnsi="Arial" w:cs="Arial"/>
          <w:bCs/>
          <w:iCs/>
          <w:sz w:val="22"/>
        </w:rPr>
      </w:pPr>
    </w:p>
    <w:p w14:paraId="2D3F5143" w14:textId="77777777" w:rsidR="00136D81" w:rsidRPr="009F2306" w:rsidRDefault="00136D81" w:rsidP="00136D81">
      <w:pPr>
        <w:spacing w:line="276" w:lineRule="auto"/>
        <w:ind w:left="284"/>
        <w:textAlignment w:val="auto"/>
        <w:rPr>
          <w:rFonts w:ascii="Arial" w:hAnsi="Arial" w:cs="Arial"/>
          <w:bCs/>
          <w:iCs/>
          <w:sz w:val="22"/>
        </w:rPr>
      </w:pPr>
      <w:r w:rsidRPr="00ED3735">
        <w:rPr>
          <w:rFonts w:ascii="Arial" w:hAnsi="Arial" w:cs="Arial"/>
          <w:bCs/>
          <w:iCs/>
          <w:sz w:val="22"/>
        </w:rPr>
        <w:t>Le Dossier d’Appel d’Offres sera remis au candidat ou à son représentant sur présentation du reçu de paiement au Secrétariat du Département Passation des Marchés et Achats (DPMA).</w:t>
      </w:r>
    </w:p>
    <w:p w14:paraId="711D517A" w14:textId="77777777" w:rsidR="00136D81" w:rsidRPr="009F2306" w:rsidRDefault="00136D81" w:rsidP="00136D81">
      <w:pPr>
        <w:textAlignment w:val="auto"/>
        <w:rPr>
          <w:rFonts w:ascii="Arial" w:hAnsi="Arial" w:cs="Arial"/>
          <w:sz w:val="22"/>
        </w:rPr>
      </w:pPr>
    </w:p>
    <w:p w14:paraId="0CCBA2DE" w14:textId="77777777" w:rsidR="00136D81" w:rsidRPr="009A187A" w:rsidRDefault="00136D81" w:rsidP="00136D81">
      <w:pPr>
        <w:pStyle w:val="Paragraphedeliste"/>
        <w:numPr>
          <w:ilvl w:val="0"/>
          <w:numId w:val="8"/>
        </w:numPr>
        <w:suppressAutoHyphens w:val="0"/>
        <w:overflowPunct/>
        <w:autoSpaceDE/>
        <w:autoSpaceDN/>
        <w:adjustRightInd/>
        <w:spacing w:line="276" w:lineRule="auto"/>
        <w:ind w:left="284"/>
        <w:textAlignment w:val="auto"/>
        <w:rPr>
          <w:rFonts w:ascii="Arial" w:hAnsi="Arial" w:cs="Arial"/>
          <w:sz w:val="22"/>
        </w:rPr>
      </w:pPr>
      <w:r w:rsidRPr="009A187A">
        <w:rPr>
          <w:rFonts w:ascii="Arial" w:hAnsi="Arial" w:cs="Arial"/>
          <w:sz w:val="22"/>
        </w:rPr>
        <w:t>Toutes les offres des soumissionnaires, rédigées en langue française en trois (03) exemplaires (01 original et 02 copies), seront déposées en recommandées avec accusé de réception</w:t>
      </w:r>
      <w:r w:rsidRPr="009A187A">
        <w:rPr>
          <w:sz w:val="22"/>
        </w:rPr>
        <w:t xml:space="preserve"> </w:t>
      </w:r>
      <w:r w:rsidRPr="009A187A">
        <w:rPr>
          <w:rFonts w:ascii="Arial" w:hAnsi="Arial" w:cs="Arial"/>
          <w:sz w:val="22"/>
        </w:rPr>
        <w:t xml:space="preserve">ou être remises de la main à la main contre récépissé au </w:t>
      </w:r>
      <w:r w:rsidRPr="00136D81">
        <w:rPr>
          <w:rFonts w:ascii="Arial" w:hAnsi="Arial" w:cs="Arial"/>
          <w:b/>
          <w:sz w:val="22"/>
        </w:rPr>
        <w:t xml:space="preserve">Secrétariat de la Commission de Passation des Marchés Publics (CPMP) </w:t>
      </w:r>
      <w:r w:rsidRPr="009A187A">
        <w:rPr>
          <w:rFonts w:ascii="Arial" w:hAnsi="Arial" w:cs="Arial"/>
          <w:sz w:val="22"/>
        </w:rPr>
        <w:t>à l’adresse ci-après :</w:t>
      </w:r>
    </w:p>
    <w:p w14:paraId="7B33E7B3" w14:textId="77777777" w:rsidR="00136D81" w:rsidRPr="009F2306" w:rsidRDefault="00136D81" w:rsidP="00136D81">
      <w:pPr>
        <w:pStyle w:val="Paragraphedeliste"/>
        <w:ind w:left="862"/>
        <w:jc w:val="left"/>
        <w:outlineLvl w:val="1"/>
        <w:rPr>
          <w:rFonts w:ascii="Arial" w:hAnsi="Arial" w:cs="Arial"/>
          <w:sz w:val="16"/>
          <w:lang w:val="x-none" w:eastAsia="x-none"/>
        </w:rPr>
      </w:pPr>
    </w:p>
    <w:p w14:paraId="114CC20E" w14:textId="77777777" w:rsidR="00136D81" w:rsidRPr="009F2306" w:rsidRDefault="00136D81" w:rsidP="00A74CC3">
      <w:pPr>
        <w:pStyle w:val="Paragraphedeliste"/>
        <w:ind w:left="1418"/>
        <w:jc w:val="left"/>
        <w:outlineLvl w:val="1"/>
        <w:rPr>
          <w:rFonts w:ascii="Arial" w:hAnsi="Arial" w:cs="Arial"/>
          <w:sz w:val="22"/>
          <w:lang w:val="x-none" w:eastAsia="x-none"/>
        </w:rPr>
      </w:pPr>
      <w:r w:rsidRPr="009F2306">
        <w:rPr>
          <w:rFonts w:ascii="Arial" w:hAnsi="Arial" w:cs="Arial"/>
          <w:sz w:val="22"/>
          <w:lang w:val="x-none" w:eastAsia="x-none"/>
        </w:rPr>
        <w:t>Compagnie Energie Electrique du Togo (CEET)</w:t>
      </w:r>
    </w:p>
    <w:p w14:paraId="48BD48A9" w14:textId="77777777" w:rsidR="00136D81" w:rsidRPr="009F2306" w:rsidRDefault="00136D81" w:rsidP="00A74CC3">
      <w:pPr>
        <w:pStyle w:val="Paragraphedeliste"/>
        <w:ind w:left="1418"/>
        <w:jc w:val="left"/>
        <w:outlineLvl w:val="1"/>
        <w:rPr>
          <w:rFonts w:ascii="Arial" w:hAnsi="Arial" w:cs="Arial"/>
          <w:sz w:val="22"/>
          <w:lang w:val="x-none" w:eastAsia="x-none"/>
        </w:rPr>
      </w:pPr>
      <w:r w:rsidRPr="009F2306">
        <w:rPr>
          <w:rFonts w:ascii="Arial" w:hAnsi="Arial" w:cs="Arial"/>
          <w:sz w:val="22"/>
          <w:lang w:val="x-none" w:eastAsia="x-none"/>
        </w:rPr>
        <w:t xml:space="preserve">426, Avenue MAMA </w:t>
      </w:r>
      <w:proofErr w:type="spellStart"/>
      <w:r w:rsidRPr="009F2306">
        <w:rPr>
          <w:rFonts w:ascii="Arial" w:hAnsi="Arial" w:cs="Arial"/>
          <w:sz w:val="22"/>
          <w:lang w:val="x-none" w:eastAsia="x-none"/>
        </w:rPr>
        <w:t>Fousséni</w:t>
      </w:r>
      <w:proofErr w:type="spellEnd"/>
    </w:p>
    <w:p w14:paraId="2099505E" w14:textId="77777777" w:rsidR="00136D81" w:rsidRPr="009F2306" w:rsidRDefault="00136D81" w:rsidP="00A74CC3">
      <w:pPr>
        <w:pStyle w:val="Paragraphedeliste"/>
        <w:ind w:left="1418"/>
        <w:jc w:val="left"/>
        <w:outlineLvl w:val="1"/>
        <w:rPr>
          <w:rFonts w:ascii="Arial" w:hAnsi="Arial" w:cs="Arial"/>
          <w:sz w:val="22"/>
          <w:lang w:val="x-none" w:eastAsia="x-none"/>
        </w:rPr>
      </w:pPr>
      <w:r w:rsidRPr="009F2306">
        <w:rPr>
          <w:rFonts w:ascii="Arial" w:hAnsi="Arial" w:cs="Arial"/>
          <w:sz w:val="22"/>
          <w:lang w:val="x-none" w:eastAsia="x-none"/>
        </w:rPr>
        <w:t>Tél : +228 22 21 27 44</w:t>
      </w:r>
    </w:p>
    <w:p w14:paraId="34ACD8E0" w14:textId="77777777" w:rsidR="00136D81" w:rsidRDefault="00136D81" w:rsidP="00136D81">
      <w:pPr>
        <w:pStyle w:val="Paragraphedeliste"/>
        <w:ind w:left="862"/>
        <w:jc w:val="left"/>
        <w:outlineLvl w:val="1"/>
        <w:rPr>
          <w:rFonts w:ascii="Arial" w:hAnsi="Arial" w:cs="Arial"/>
          <w:sz w:val="22"/>
          <w:lang w:val="x-none" w:eastAsia="x-none"/>
        </w:rPr>
      </w:pPr>
    </w:p>
    <w:p w14:paraId="6608E217" w14:textId="3BCAAF65" w:rsidR="00136D81" w:rsidRDefault="00136D81" w:rsidP="00136D81">
      <w:pPr>
        <w:pStyle w:val="Paragraphedeliste"/>
        <w:ind w:left="284"/>
        <w:outlineLvl w:val="1"/>
        <w:rPr>
          <w:rFonts w:ascii="Arial" w:hAnsi="Arial" w:cs="Arial"/>
          <w:sz w:val="22"/>
          <w:lang w:val="x-none" w:eastAsia="x-none"/>
        </w:rPr>
      </w:pPr>
      <w:r w:rsidRPr="009F2306">
        <w:rPr>
          <w:rFonts w:ascii="Arial" w:hAnsi="Arial" w:cs="Arial"/>
          <w:sz w:val="22"/>
          <w:lang w:val="x-none" w:eastAsia="x-none"/>
        </w:rPr>
        <w:lastRenderedPageBreak/>
        <w:t>au plus tard le </w:t>
      </w:r>
      <w:r w:rsidR="00A74CC3">
        <w:rPr>
          <w:rFonts w:ascii="Arial" w:hAnsi="Arial" w:cs="Arial"/>
          <w:b/>
          <w:sz w:val="22"/>
          <w:lang w:eastAsia="x-none"/>
        </w:rPr>
        <w:t>21</w:t>
      </w:r>
      <w:r w:rsidR="006C56EF">
        <w:rPr>
          <w:rFonts w:ascii="Arial" w:hAnsi="Arial" w:cs="Arial"/>
          <w:b/>
          <w:sz w:val="22"/>
          <w:lang w:eastAsia="x-none"/>
        </w:rPr>
        <w:t xml:space="preserve"> septembre 2022</w:t>
      </w:r>
      <w:r w:rsidRPr="009F2306">
        <w:rPr>
          <w:rFonts w:ascii="Arial" w:hAnsi="Arial" w:cs="Arial"/>
          <w:b/>
          <w:sz w:val="22"/>
          <w:lang w:eastAsia="x-none"/>
        </w:rPr>
        <w:t xml:space="preserve"> </w:t>
      </w:r>
      <w:r w:rsidRPr="009F2306">
        <w:rPr>
          <w:rFonts w:ascii="Arial" w:hAnsi="Arial" w:cs="Arial"/>
          <w:b/>
          <w:sz w:val="22"/>
          <w:lang w:val="x-none" w:eastAsia="x-none"/>
        </w:rPr>
        <w:t xml:space="preserve"> à  09h 00 min</w:t>
      </w:r>
      <w:r w:rsidRPr="009F2306">
        <w:rPr>
          <w:rFonts w:ascii="Arial" w:hAnsi="Arial" w:cs="Arial"/>
          <w:sz w:val="22"/>
          <w:lang w:val="x-none" w:eastAsia="x-none"/>
        </w:rPr>
        <w:t>. Les offres remises en retard ne seront pas acceptées.</w:t>
      </w:r>
    </w:p>
    <w:p w14:paraId="69B78557" w14:textId="3B72ADAE" w:rsidR="00A74CC3" w:rsidRDefault="00A74CC3" w:rsidP="00136D81">
      <w:pPr>
        <w:pStyle w:val="Paragraphedeliste"/>
        <w:ind w:left="284"/>
        <w:outlineLvl w:val="1"/>
        <w:rPr>
          <w:rFonts w:ascii="Arial" w:hAnsi="Arial" w:cs="Arial"/>
          <w:sz w:val="22"/>
          <w:lang w:val="x-none" w:eastAsia="x-none"/>
        </w:rPr>
      </w:pPr>
    </w:p>
    <w:p w14:paraId="397DCA8C" w14:textId="77777777" w:rsidR="00A74CC3" w:rsidRPr="009F2306" w:rsidRDefault="00A74CC3" w:rsidP="00136D81">
      <w:pPr>
        <w:pStyle w:val="Paragraphedeliste"/>
        <w:ind w:left="284"/>
        <w:outlineLvl w:val="1"/>
        <w:rPr>
          <w:rFonts w:ascii="Arial" w:hAnsi="Arial" w:cs="Arial"/>
          <w:sz w:val="22"/>
          <w:lang w:val="x-none" w:eastAsia="x-none"/>
        </w:rPr>
      </w:pPr>
    </w:p>
    <w:p w14:paraId="32007786" w14:textId="7B2767D9" w:rsidR="00A74CC3" w:rsidRPr="00127A41" w:rsidRDefault="00136D81" w:rsidP="00A74CC3">
      <w:pPr>
        <w:spacing w:line="276" w:lineRule="auto"/>
        <w:ind w:left="284" w:hanging="284"/>
        <w:outlineLvl w:val="1"/>
        <w:rPr>
          <w:rFonts w:ascii="Arial" w:hAnsi="Arial" w:cs="Arial"/>
          <w:sz w:val="22"/>
          <w:lang w:val="x-none" w:eastAsia="x-none"/>
        </w:rPr>
      </w:pPr>
      <w:r>
        <w:rPr>
          <w:rFonts w:ascii="Arial" w:hAnsi="Arial" w:cs="Arial"/>
          <w:sz w:val="22"/>
          <w:lang w:eastAsia="x-none"/>
        </w:rPr>
        <w:t>6</w:t>
      </w:r>
      <w:r w:rsidRPr="00127A41">
        <w:rPr>
          <w:rFonts w:ascii="Arial" w:hAnsi="Arial" w:cs="Arial"/>
          <w:sz w:val="22"/>
          <w:lang w:val="x-none" w:eastAsia="x-none"/>
        </w:rPr>
        <w:t>.</w:t>
      </w:r>
      <w:r w:rsidRPr="00127A41">
        <w:rPr>
          <w:rFonts w:ascii="Arial" w:hAnsi="Arial" w:cs="Arial"/>
          <w:sz w:val="22"/>
          <w:lang w:val="x-none" w:eastAsia="x-none"/>
        </w:rPr>
        <w:tab/>
        <w:t xml:space="preserve">Les offres seront ouvertes en présence des représentants des soumissionnaires qui souhaitent assister à l’ouverture des plis le </w:t>
      </w:r>
      <w:r w:rsidR="00A74CC3">
        <w:rPr>
          <w:rFonts w:ascii="Arial" w:hAnsi="Arial" w:cs="Arial"/>
          <w:b/>
          <w:sz w:val="22"/>
          <w:lang w:eastAsia="x-none"/>
        </w:rPr>
        <w:t>21</w:t>
      </w:r>
      <w:r w:rsidR="006C56EF">
        <w:rPr>
          <w:rFonts w:ascii="Arial" w:hAnsi="Arial" w:cs="Arial"/>
          <w:b/>
          <w:sz w:val="22"/>
          <w:lang w:eastAsia="x-none"/>
        </w:rPr>
        <w:t xml:space="preserve"> septembre 2022 </w:t>
      </w:r>
      <w:r w:rsidRPr="00127A41">
        <w:rPr>
          <w:rFonts w:ascii="Arial" w:hAnsi="Arial" w:cs="Arial"/>
          <w:sz w:val="22"/>
          <w:lang w:val="x-none" w:eastAsia="x-none"/>
        </w:rPr>
        <w:t xml:space="preserve">à </w:t>
      </w:r>
      <w:r w:rsidRPr="00136D81">
        <w:rPr>
          <w:rFonts w:ascii="Arial" w:hAnsi="Arial" w:cs="Arial"/>
          <w:b/>
          <w:sz w:val="22"/>
          <w:lang w:val="x-none" w:eastAsia="x-none"/>
        </w:rPr>
        <w:t>09h30 min</w:t>
      </w:r>
      <w:r w:rsidRPr="00127A41">
        <w:rPr>
          <w:rFonts w:ascii="Arial" w:hAnsi="Arial" w:cs="Arial"/>
          <w:sz w:val="22"/>
          <w:lang w:val="x-none" w:eastAsia="x-none"/>
        </w:rPr>
        <w:t xml:space="preserve"> à la salle de réunion de la Commission de Passation des Marchés Publics (CPMP), à l’adresse indiquée au point </w:t>
      </w:r>
      <w:r>
        <w:rPr>
          <w:rFonts w:ascii="Arial" w:hAnsi="Arial" w:cs="Arial"/>
          <w:sz w:val="22"/>
          <w:lang w:eastAsia="x-none"/>
        </w:rPr>
        <w:t>5</w:t>
      </w:r>
      <w:r w:rsidRPr="00127A41">
        <w:rPr>
          <w:rFonts w:ascii="Arial" w:hAnsi="Arial" w:cs="Arial"/>
          <w:sz w:val="22"/>
          <w:lang w:val="x-none" w:eastAsia="x-none"/>
        </w:rPr>
        <w:t>.</w:t>
      </w:r>
    </w:p>
    <w:p w14:paraId="257759B3" w14:textId="77777777" w:rsidR="00136D81" w:rsidRPr="009F2306" w:rsidRDefault="00136D81" w:rsidP="00136D81">
      <w:pPr>
        <w:pStyle w:val="Paragraphedeliste"/>
        <w:ind w:left="862"/>
        <w:outlineLvl w:val="1"/>
        <w:rPr>
          <w:rFonts w:ascii="Arial" w:hAnsi="Arial" w:cs="Arial"/>
          <w:sz w:val="22"/>
          <w:lang w:val="x-none" w:eastAsia="x-none"/>
        </w:rPr>
      </w:pPr>
    </w:p>
    <w:p w14:paraId="6EB8F0C8" w14:textId="77777777" w:rsidR="00136D81" w:rsidRPr="00127A41" w:rsidRDefault="00136D81" w:rsidP="00136D81">
      <w:pPr>
        <w:pStyle w:val="Paragraphedeliste"/>
        <w:numPr>
          <w:ilvl w:val="0"/>
          <w:numId w:val="5"/>
        </w:numPr>
        <w:ind w:left="284" w:hanging="284"/>
        <w:textAlignment w:val="auto"/>
        <w:rPr>
          <w:rFonts w:ascii="Arial" w:hAnsi="Arial" w:cs="Arial"/>
          <w:bCs/>
          <w:iCs/>
          <w:sz w:val="22"/>
        </w:rPr>
      </w:pPr>
      <w:r w:rsidRPr="00127A41">
        <w:rPr>
          <w:rFonts w:ascii="Arial" w:hAnsi="Arial" w:cs="Arial"/>
          <w:sz w:val="22"/>
        </w:rPr>
        <w:t xml:space="preserve">Les offres doivent comprendre </w:t>
      </w:r>
      <w:r w:rsidRPr="00127A41">
        <w:rPr>
          <w:rFonts w:ascii="Arial" w:hAnsi="Arial" w:cs="Arial"/>
          <w:iCs/>
          <w:sz w:val="22"/>
        </w:rPr>
        <w:t xml:space="preserve">une garantie </w:t>
      </w:r>
      <w:r w:rsidRPr="00127A41">
        <w:rPr>
          <w:rFonts w:ascii="Arial" w:hAnsi="Arial" w:cs="Arial"/>
          <w:sz w:val="22"/>
        </w:rPr>
        <w:t xml:space="preserve">de soumission délivrée par une banque </w:t>
      </w:r>
      <w:r w:rsidRPr="00127A41">
        <w:rPr>
          <w:rFonts w:ascii="Arial" w:hAnsi="Arial" w:cs="Arial"/>
          <w:iCs/>
          <w:sz w:val="22"/>
        </w:rPr>
        <w:t>d’un montant de</w:t>
      </w:r>
      <w:r w:rsidRPr="00127A41">
        <w:rPr>
          <w:rFonts w:ascii="Arial" w:hAnsi="Arial" w:cs="Arial"/>
          <w:sz w:val="22"/>
        </w:rPr>
        <w:t xml:space="preserve"> :</w:t>
      </w:r>
    </w:p>
    <w:p w14:paraId="47FA10CE" w14:textId="77777777" w:rsidR="00136D81" w:rsidRPr="009F2306" w:rsidRDefault="00136D81" w:rsidP="00136D81">
      <w:pPr>
        <w:pStyle w:val="Paragraphedeliste"/>
        <w:ind w:left="0"/>
        <w:textAlignment w:val="auto"/>
        <w:rPr>
          <w:rFonts w:ascii="Arial" w:hAnsi="Arial" w:cs="Arial"/>
          <w:bCs/>
          <w:iCs/>
          <w:sz w:val="22"/>
        </w:rPr>
      </w:pPr>
    </w:p>
    <w:p w14:paraId="5F639B41" w14:textId="77777777" w:rsidR="00136D81" w:rsidRPr="00F739F6" w:rsidRDefault="00136D81" w:rsidP="00136D81">
      <w:pPr>
        <w:pStyle w:val="Paragraphedeliste"/>
        <w:numPr>
          <w:ilvl w:val="0"/>
          <w:numId w:val="4"/>
        </w:numPr>
        <w:tabs>
          <w:tab w:val="right" w:pos="7254"/>
        </w:tabs>
        <w:spacing w:before="120" w:after="120" w:line="276" w:lineRule="auto"/>
        <w:ind w:left="993" w:hanging="426"/>
        <w:rPr>
          <w:rFonts w:ascii="Arial" w:hAnsi="Arial" w:cs="Arial"/>
          <w:sz w:val="22"/>
          <w:szCs w:val="24"/>
        </w:rPr>
      </w:pPr>
      <w:r w:rsidRPr="00F739F6">
        <w:rPr>
          <w:rFonts w:ascii="Arial" w:hAnsi="Arial" w:cs="Arial"/>
          <w:b/>
          <w:bCs/>
          <w:sz w:val="22"/>
          <w:szCs w:val="24"/>
        </w:rPr>
        <w:t>Lot</w:t>
      </w:r>
      <w:r>
        <w:rPr>
          <w:rFonts w:ascii="Arial" w:hAnsi="Arial" w:cs="Arial"/>
          <w:b/>
          <w:bCs/>
          <w:sz w:val="22"/>
          <w:szCs w:val="24"/>
        </w:rPr>
        <w:t xml:space="preserve"> </w:t>
      </w:r>
      <w:r w:rsidRPr="00F739F6">
        <w:rPr>
          <w:rFonts w:ascii="Arial" w:hAnsi="Arial" w:cs="Arial"/>
          <w:b/>
          <w:bCs/>
          <w:sz w:val="22"/>
          <w:szCs w:val="24"/>
        </w:rPr>
        <w:t>1 :</w:t>
      </w:r>
      <w:r w:rsidRPr="00F739F6">
        <w:rPr>
          <w:rFonts w:ascii="Arial" w:hAnsi="Arial" w:cs="Arial"/>
          <w:sz w:val="22"/>
          <w:szCs w:val="24"/>
        </w:rPr>
        <w:t xml:space="preserve"> le montant de la garantie de soumission est de </w:t>
      </w:r>
      <w:r w:rsidRPr="00F739F6">
        <w:rPr>
          <w:rFonts w:ascii="Arial" w:hAnsi="Arial" w:cs="Arial"/>
          <w:b/>
          <w:sz w:val="22"/>
          <w:szCs w:val="24"/>
        </w:rPr>
        <w:t xml:space="preserve">quatre-vingt-sept millions de francs CFA (87.000.000 FCFA), </w:t>
      </w:r>
      <w:r w:rsidRPr="00F739F6">
        <w:rPr>
          <w:rFonts w:ascii="Arial" w:hAnsi="Arial" w:cs="Arial"/>
          <w:sz w:val="22"/>
          <w:szCs w:val="24"/>
        </w:rPr>
        <w:t>ou d’un montant équivalent en toute monnaie librement convertible en monnaie locale (franc CFA XOF).</w:t>
      </w:r>
    </w:p>
    <w:p w14:paraId="0B480673" w14:textId="77777777" w:rsidR="00136D81" w:rsidRPr="00F739F6" w:rsidRDefault="00136D81" w:rsidP="00136D81">
      <w:pPr>
        <w:pStyle w:val="Paragraphedeliste"/>
        <w:tabs>
          <w:tab w:val="right" w:pos="7254"/>
        </w:tabs>
        <w:spacing w:before="120" w:after="120"/>
        <w:ind w:left="1134" w:hanging="567"/>
        <w:rPr>
          <w:rFonts w:ascii="Arial" w:hAnsi="Arial" w:cs="Arial"/>
          <w:sz w:val="22"/>
          <w:szCs w:val="24"/>
        </w:rPr>
      </w:pPr>
    </w:p>
    <w:p w14:paraId="652C2A97" w14:textId="77777777" w:rsidR="00136D81" w:rsidRDefault="00136D81" w:rsidP="00136D81">
      <w:pPr>
        <w:pStyle w:val="Paragraphedeliste"/>
        <w:numPr>
          <w:ilvl w:val="0"/>
          <w:numId w:val="4"/>
        </w:numPr>
        <w:tabs>
          <w:tab w:val="right" w:pos="7254"/>
        </w:tabs>
        <w:spacing w:before="120" w:after="120" w:line="276" w:lineRule="auto"/>
        <w:ind w:left="993" w:hanging="426"/>
        <w:rPr>
          <w:rFonts w:ascii="Arial" w:hAnsi="Arial" w:cs="Arial"/>
          <w:sz w:val="22"/>
          <w:szCs w:val="24"/>
        </w:rPr>
      </w:pPr>
      <w:r w:rsidRPr="00F739F6">
        <w:rPr>
          <w:rFonts w:ascii="Arial" w:hAnsi="Arial" w:cs="Arial"/>
          <w:b/>
          <w:bCs/>
          <w:sz w:val="22"/>
          <w:szCs w:val="24"/>
        </w:rPr>
        <w:t>Lot</w:t>
      </w:r>
      <w:r>
        <w:rPr>
          <w:rFonts w:ascii="Arial" w:hAnsi="Arial" w:cs="Arial"/>
          <w:b/>
          <w:bCs/>
          <w:sz w:val="22"/>
          <w:szCs w:val="24"/>
        </w:rPr>
        <w:t xml:space="preserve"> </w:t>
      </w:r>
      <w:r w:rsidRPr="00F739F6">
        <w:rPr>
          <w:rFonts w:ascii="Arial" w:hAnsi="Arial" w:cs="Arial"/>
          <w:b/>
          <w:bCs/>
          <w:sz w:val="22"/>
          <w:szCs w:val="24"/>
        </w:rPr>
        <w:t>2 :</w:t>
      </w:r>
      <w:r w:rsidRPr="00F739F6">
        <w:rPr>
          <w:rFonts w:ascii="Arial" w:hAnsi="Arial" w:cs="Arial"/>
          <w:sz w:val="22"/>
          <w:szCs w:val="24"/>
        </w:rPr>
        <w:t xml:space="preserve"> le montant de la garantie de soumission est de </w:t>
      </w:r>
      <w:r w:rsidRPr="00F739F6">
        <w:rPr>
          <w:rFonts w:ascii="Arial" w:hAnsi="Arial" w:cs="Arial"/>
          <w:b/>
          <w:sz w:val="22"/>
          <w:szCs w:val="24"/>
        </w:rPr>
        <w:t xml:space="preserve">quatre-vingt-sept millions de francs CFA (87.000.000 FCFA), </w:t>
      </w:r>
      <w:r w:rsidRPr="00F739F6">
        <w:rPr>
          <w:rFonts w:ascii="Arial" w:hAnsi="Arial" w:cs="Arial"/>
          <w:sz w:val="22"/>
          <w:szCs w:val="24"/>
        </w:rPr>
        <w:t>ou d’un montant équivalent en toute monnaie librement convertible en monnaie locale (franc CFA XOF).</w:t>
      </w:r>
    </w:p>
    <w:p w14:paraId="6A6AC143" w14:textId="77777777" w:rsidR="00136D81" w:rsidRPr="003B0C22" w:rsidRDefault="00136D81" w:rsidP="00136D81">
      <w:pPr>
        <w:tabs>
          <w:tab w:val="right" w:pos="7254"/>
        </w:tabs>
        <w:spacing w:before="120" w:after="120" w:line="276" w:lineRule="auto"/>
        <w:rPr>
          <w:rFonts w:ascii="Arial" w:hAnsi="Arial" w:cs="Arial"/>
          <w:sz w:val="12"/>
          <w:szCs w:val="24"/>
        </w:rPr>
      </w:pPr>
    </w:p>
    <w:p w14:paraId="1C852273" w14:textId="77777777" w:rsidR="00136D81" w:rsidRPr="009F2306" w:rsidRDefault="00136D81" w:rsidP="00136D81">
      <w:pPr>
        <w:pStyle w:val="Paragraphedeliste"/>
        <w:ind w:left="284" w:hanging="11"/>
        <w:rPr>
          <w:rFonts w:ascii="Arial" w:hAnsi="Arial" w:cs="Arial"/>
          <w:sz w:val="22"/>
        </w:rPr>
      </w:pPr>
      <w:r w:rsidRPr="009F2306">
        <w:rPr>
          <w:rFonts w:ascii="Arial" w:hAnsi="Arial" w:cs="Arial"/>
          <w:sz w:val="22"/>
        </w:rPr>
        <w:t>Cette garantie de soumission restera valide 28 jours après l’expiration du délai de validité des offres.</w:t>
      </w:r>
    </w:p>
    <w:p w14:paraId="3A8759F6" w14:textId="77777777" w:rsidR="00136D81" w:rsidRPr="009F2306" w:rsidRDefault="00136D81" w:rsidP="00136D81">
      <w:pPr>
        <w:pStyle w:val="Paragraphedeliste"/>
        <w:ind w:left="0" w:hanging="11"/>
        <w:rPr>
          <w:rFonts w:ascii="Arial" w:hAnsi="Arial" w:cs="Arial"/>
          <w:sz w:val="22"/>
        </w:rPr>
      </w:pPr>
    </w:p>
    <w:p w14:paraId="75931771" w14:textId="77777777" w:rsidR="00136D81" w:rsidRPr="009F2306" w:rsidRDefault="00136D81" w:rsidP="00136D81">
      <w:pPr>
        <w:pStyle w:val="Paragraphedeliste"/>
        <w:ind w:left="0" w:hanging="11"/>
        <w:rPr>
          <w:rFonts w:ascii="Arial" w:hAnsi="Arial" w:cs="Arial"/>
          <w:sz w:val="12"/>
        </w:rPr>
      </w:pPr>
    </w:p>
    <w:p w14:paraId="26F74B87" w14:textId="77777777" w:rsidR="00136D81" w:rsidRPr="00A30C78" w:rsidRDefault="00136D81" w:rsidP="00136D81">
      <w:pPr>
        <w:pStyle w:val="Paragraphedeliste"/>
        <w:numPr>
          <w:ilvl w:val="0"/>
          <w:numId w:val="6"/>
        </w:numPr>
        <w:spacing w:line="276" w:lineRule="auto"/>
        <w:ind w:left="284" w:hanging="284"/>
        <w:rPr>
          <w:rFonts w:ascii="Arial" w:hAnsi="Arial" w:cs="Arial"/>
          <w:sz w:val="22"/>
        </w:rPr>
      </w:pPr>
      <w:r w:rsidRPr="00A30C78">
        <w:rPr>
          <w:rFonts w:ascii="Arial" w:hAnsi="Arial" w:cs="Arial"/>
          <w:sz w:val="22"/>
        </w:rPr>
        <w:t>Les candidats resteront engagés par leur offre pendant une période de cent vingt (120) jours calendaires à compter de la date limite du dépôt des offres.</w:t>
      </w:r>
    </w:p>
    <w:p w14:paraId="78194F15" w14:textId="77777777" w:rsidR="00136D81" w:rsidRDefault="00136D81" w:rsidP="00136D81">
      <w:pPr>
        <w:pStyle w:val="Paragraphedeliste"/>
        <w:ind w:left="0" w:hanging="11"/>
        <w:rPr>
          <w:rFonts w:ascii="Arial" w:hAnsi="Arial" w:cs="Arial"/>
          <w:sz w:val="22"/>
        </w:rPr>
      </w:pPr>
    </w:p>
    <w:p w14:paraId="7DFBDF0C" w14:textId="77777777" w:rsidR="00136D81" w:rsidRDefault="00136D81" w:rsidP="00136D81">
      <w:pPr>
        <w:spacing w:line="288" w:lineRule="auto"/>
        <w:ind w:left="4248"/>
        <w:rPr>
          <w:b/>
          <w:lang w:val="x-none" w:eastAsia="x-none"/>
        </w:rPr>
      </w:pPr>
    </w:p>
    <w:p w14:paraId="42A8CA77" w14:textId="77777777" w:rsidR="00136D81" w:rsidRPr="00136D81" w:rsidRDefault="00136D81" w:rsidP="00A74CC3">
      <w:pPr>
        <w:spacing w:line="288" w:lineRule="auto"/>
        <w:ind w:left="4536"/>
        <w:jc w:val="left"/>
        <w:rPr>
          <w:b/>
          <w:sz w:val="26"/>
          <w:szCs w:val="26"/>
          <w:lang w:val="x-none" w:eastAsia="x-none"/>
        </w:rPr>
      </w:pPr>
      <w:r w:rsidRPr="00136D81">
        <w:rPr>
          <w:b/>
          <w:sz w:val="26"/>
          <w:szCs w:val="26"/>
          <w:lang w:val="x-none" w:eastAsia="x-none"/>
        </w:rPr>
        <w:t>La Personne Responsable des Marchés Publics,</w:t>
      </w:r>
    </w:p>
    <w:p w14:paraId="606C21DA" w14:textId="77777777" w:rsidR="00180EA6" w:rsidRDefault="00180EA6"/>
    <w:sectPr w:rsidR="00180E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3BCE5E" w14:textId="77777777" w:rsidR="004F511C" w:rsidRDefault="004F511C" w:rsidP="00136D81">
      <w:r>
        <w:separator/>
      </w:r>
    </w:p>
  </w:endnote>
  <w:endnote w:type="continuationSeparator" w:id="0">
    <w:p w14:paraId="7B68EF0B" w14:textId="77777777" w:rsidR="004F511C" w:rsidRDefault="004F511C" w:rsidP="00136D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74183100"/>
      <w:docPartObj>
        <w:docPartGallery w:val="Page Numbers (Bottom of Page)"/>
        <w:docPartUnique/>
      </w:docPartObj>
    </w:sdtPr>
    <w:sdtEndPr/>
    <w:sdtContent>
      <w:p w14:paraId="73AFC612" w14:textId="77777777" w:rsidR="00136D81" w:rsidRDefault="00136D81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56EF">
          <w:rPr>
            <w:noProof/>
          </w:rPr>
          <w:t>3</w:t>
        </w:r>
        <w:r>
          <w:fldChar w:fldCharType="end"/>
        </w:r>
      </w:p>
    </w:sdtContent>
  </w:sdt>
  <w:p w14:paraId="394E8A6A" w14:textId="77777777" w:rsidR="00136D81" w:rsidRDefault="00136D8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5B943E" w14:textId="77777777" w:rsidR="004F511C" w:rsidRDefault="004F511C" w:rsidP="00136D81">
      <w:r>
        <w:separator/>
      </w:r>
    </w:p>
  </w:footnote>
  <w:footnote w:type="continuationSeparator" w:id="0">
    <w:p w14:paraId="6752E583" w14:textId="77777777" w:rsidR="004F511C" w:rsidRDefault="004F511C" w:rsidP="00136D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A640E"/>
    <w:multiLevelType w:val="hybridMultilevel"/>
    <w:tmpl w:val="6498A530"/>
    <w:lvl w:ilvl="0" w:tplc="0409000B">
      <w:start w:val="1"/>
      <w:numFmt w:val="bullet"/>
      <w:lvlText w:val=""/>
      <w:lvlJc w:val="left"/>
      <w:pPr>
        <w:ind w:left="158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1" w15:restartNumberingAfterBreak="0">
    <w:nsid w:val="11F76244"/>
    <w:multiLevelType w:val="hybridMultilevel"/>
    <w:tmpl w:val="C6ECC302"/>
    <w:lvl w:ilvl="0" w:tplc="7DCEC824">
      <w:start w:val="1"/>
      <w:numFmt w:val="bullet"/>
      <w:lvlText w:val=""/>
      <w:lvlJc w:val="left"/>
      <w:pPr>
        <w:ind w:left="7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34532413"/>
    <w:multiLevelType w:val="hybridMultilevel"/>
    <w:tmpl w:val="40CAEE9E"/>
    <w:lvl w:ilvl="0" w:tplc="040C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3A3C55D7"/>
    <w:multiLevelType w:val="hybridMultilevel"/>
    <w:tmpl w:val="DE2A768C"/>
    <w:lvl w:ilvl="0" w:tplc="60BECD24">
      <w:start w:val="5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B4486F"/>
    <w:multiLevelType w:val="hybridMultilevel"/>
    <w:tmpl w:val="781C2586"/>
    <w:lvl w:ilvl="0" w:tplc="0CDA868E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12758EE"/>
    <w:multiLevelType w:val="hybridMultilevel"/>
    <w:tmpl w:val="C1D20A74"/>
    <w:lvl w:ilvl="0" w:tplc="FDC28F8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1A0CD8"/>
    <w:multiLevelType w:val="hybridMultilevel"/>
    <w:tmpl w:val="B430137A"/>
    <w:lvl w:ilvl="0" w:tplc="E2B265A6">
      <w:start w:val="2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0C4155"/>
    <w:multiLevelType w:val="hybridMultilevel"/>
    <w:tmpl w:val="598CAC12"/>
    <w:lvl w:ilvl="0" w:tplc="C83C5AD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7"/>
  </w:num>
  <w:num w:numId="6">
    <w:abstractNumId w:val="4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6D81"/>
    <w:rsid w:val="00136D81"/>
    <w:rsid w:val="00180EA6"/>
    <w:rsid w:val="001870F1"/>
    <w:rsid w:val="004F511C"/>
    <w:rsid w:val="006C56EF"/>
    <w:rsid w:val="0078175A"/>
    <w:rsid w:val="00A74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02AD5"/>
  <w15:chartTrackingRefBased/>
  <w15:docId w15:val="{D8301173-26ED-49F5-B601-B8821F09D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6D81"/>
    <w:pPr>
      <w:suppressAutoHyphens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BankNormal">
    <w:name w:val="BankNormal"/>
    <w:basedOn w:val="Normal"/>
    <w:rsid w:val="00136D81"/>
    <w:pPr>
      <w:suppressAutoHyphens w:val="0"/>
      <w:spacing w:after="240"/>
      <w:jc w:val="left"/>
    </w:pPr>
    <w:rPr>
      <w:lang w:val="en-US"/>
    </w:rPr>
  </w:style>
  <w:style w:type="paragraph" w:styleId="Paragraphedeliste">
    <w:name w:val="List Paragraph"/>
    <w:aliases w:val="Citation List,본문(내용),List Paragraph (numbered (a)),Colorful List - Accent 11,Number Bullets,Bullet Styles para,Bullet,LIST OF TABLES.,List Paragraph1,Report Para,List Paragraph11,En tête 1,References,List bullet,Bullets,Normal 2,lp"/>
    <w:basedOn w:val="Normal"/>
    <w:link w:val="ParagraphedelisteCar"/>
    <w:uiPriority w:val="34"/>
    <w:qFormat/>
    <w:rsid w:val="00136D81"/>
    <w:pPr>
      <w:ind w:left="720"/>
      <w:contextualSpacing/>
    </w:pPr>
  </w:style>
  <w:style w:type="character" w:customStyle="1" w:styleId="ParagraphedelisteCar">
    <w:name w:val="Paragraphe de liste Car"/>
    <w:aliases w:val="Citation List Car,본문(내용) Car,List Paragraph (numbered (a)) Car,Colorful List - Accent 11 Car,Number Bullets Car,Bullet Styles para Car,Bullet Car,LIST OF TABLES. Car,List Paragraph1 Car,Report Para Car,List Paragraph11 Car,lp Car"/>
    <w:basedOn w:val="Policepardfaut"/>
    <w:link w:val="Paragraphedeliste"/>
    <w:uiPriority w:val="34"/>
    <w:qFormat/>
    <w:rsid w:val="00136D81"/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customStyle="1" w:styleId="Header1">
    <w:name w:val="Header1"/>
    <w:basedOn w:val="Normal"/>
    <w:rsid w:val="00136D81"/>
    <w:pPr>
      <w:widowControl w:val="0"/>
      <w:suppressAutoHyphens w:val="0"/>
      <w:overflowPunct/>
      <w:autoSpaceDE/>
      <w:autoSpaceDN/>
      <w:adjustRightInd/>
      <w:jc w:val="center"/>
      <w:textAlignment w:val="auto"/>
    </w:pPr>
    <w:rPr>
      <w:rFonts w:ascii="Times New Roman Bold" w:hAnsi="Times New Roman Bold"/>
      <w:b/>
      <w:smallCaps/>
      <w:sz w:val="36"/>
      <w:lang w:val="en-US" w:eastAsia="en-US"/>
    </w:rPr>
  </w:style>
  <w:style w:type="paragraph" w:styleId="En-tte">
    <w:name w:val="header"/>
    <w:basedOn w:val="Normal"/>
    <w:link w:val="En-tteCar"/>
    <w:uiPriority w:val="99"/>
    <w:unhideWhenUsed/>
    <w:rsid w:val="00136D8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36D81"/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136D8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36D81"/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8175A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8175A"/>
    <w:rPr>
      <w:rFonts w:ascii="Segoe UI" w:eastAsia="Times New Roman" w:hAnsi="Segoe UI" w:cs="Segoe UI"/>
      <w:sz w:val="18"/>
      <w:szCs w:val="18"/>
      <w:lang w:eastAsia="fr-FR"/>
    </w:rPr>
  </w:style>
  <w:style w:type="character" w:styleId="Lienhypertexte">
    <w:name w:val="Hyperlink"/>
    <w:basedOn w:val="Policepardfaut"/>
    <w:uiPriority w:val="99"/>
    <w:unhideWhenUsed/>
    <w:rsid w:val="00A74CC3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A74C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mp@ceet.tg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dpma@ceet.t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yaovi.attignon@ceet.tg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952</Words>
  <Characters>5431</Characters>
  <Application>Microsoft Office Word</Application>
  <DocSecurity>0</DocSecurity>
  <Lines>45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Magnimdewa Liliane PALANGA</dc:creator>
  <cp:keywords/>
  <dc:description/>
  <cp:lastModifiedBy>Boda Stephane WAGUENA</cp:lastModifiedBy>
  <cp:revision>2</cp:revision>
  <cp:lastPrinted>2022-08-05T10:34:00Z</cp:lastPrinted>
  <dcterms:created xsi:type="dcterms:W3CDTF">2022-08-12T12:53:00Z</dcterms:created>
  <dcterms:modified xsi:type="dcterms:W3CDTF">2022-08-12T12:53:00Z</dcterms:modified>
</cp:coreProperties>
</file>