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3EC57" w14:textId="77777777" w:rsidR="00085578" w:rsidRPr="00DF5100" w:rsidRDefault="00085578" w:rsidP="00085578">
      <w:pPr>
        <w:pStyle w:val="Heading1a"/>
        <w:keepNext w:val="0"/>
        <w:keepLines w:val="0"/>
        <w:tabs>
          <w:tab w:val="clear" w:pos="-720"/>
        </w:tabs>
        <w:suppressAutoHyphens w:val="0"/>
        <w:spacing w:before="120" w:after="120"/>
        <w:rPr>
          <w:bCs/>
          <w:smallCaps w:val="0"/>
          <w:sz w:val="18"/>
          <w:szCs w:val="18"/>
          <w:u w:val="single"/>
        </w:rPr>
      </w:pPr>
      <w:r w:rsidRPr="00DF5100">
        <w:rPr>
          <w:bCs/>
          <w:smallCaps w:val="0"/>
          <w:sz w:val="18"/>
          <w:szCs w:val="18"/>
          <w:u w:val="single"/>
        </w:rPr>
        <w:t>Invitation for Bids</w:t>
      </w:r>
    </w:p>
    <w:p w14:paraId="466EA46D" w14:textId="77777777" w:rsidR="00085578" w:rsidRPr="00DF5100" w:rsidRDefault="00085578" w:rsidP="00085578">
      <w:pPr>
        <w:spacing w:before="120" w:after="120"/>
        <w:jc w:val="center"/>
        <w:rPr>
          <w:b/>
          <w:sz w:val="18"/>
          <w:szCs w:val="18"/>
          <w:lang w:val="en-US"/>
        </w:rPr>
      </w:pPr>
    </w:p>
    <w:p w14:paraId="1DA6D173" w14:textId="77777777" w:rsidR="00085578" w:rsidRPr="00DF5100" w:rsidRDefault="00085578" w:rsidP="00085578">
      <w:pPr>
        <w:spacing w:before="120" w:after="120"/>
        <w:contextualSpacing/>
        <w:jc w:val="center"/>
        <w:rPr>
          <w:b/>
          <w:sz w:val="18"/>
          <w:szCs w:val="18"/>
          <w:lang w:val="en-US"/>
        </w:rPr>
      </w:pPr>
      <w:r w:rsidRPr="00DF5100">
        <w:rPr>
          <w:b/>
          <w:sz w:val="18"/>
          <w:szCs w:val="18"/>
          <w:lang w:val="en-US"/>
        </w:rPr>
        <w:t>Republic of Uzbekistan</w:t>
      </w:r>
    </w:p>
    <w:p w14:paraId="23BDF92D" w14:textId="77777777" w:rsidR="00085578" w:rsidRPr="00DF5100" w:rsidRDefault="00085578" w:rsidP="00085578">
      <w:pPr>
        <w:spacing w:before="120" w:after="120"/>
        <w:contextualSpacing/>
        <w:jc w:val="center"/>
        <w:rPr>
          <w:b/>
          <w:sz w:val="18"/>
          <w:szCs w:val="18"/>
          <w:lang w:val="en-US"/>
        </w:rPr>
      </w:pPr>
      <w:r w:rsidRPr="00DF5100">
        <w:rPr>
          <w:b/>
          <w:sz w:val="18"/>
          <w:szCs w:val="18"/>
          <w:lang w:val="en-US"/>
        </w:rPr>
        <w:t>Support to the Development of Higher Education</w:t>
      </w:r>
    </w:p>
    <w:p w14:paraId="4A0D095D" w14:textId="77777777" w:rsidR="00085578" w:rsidRPr="00DF5100" w:rsidRDefault="00085578" w:rsidP="00085578">
      <w:pPr>
        <w:spacing w:before="120" w:after="120"/>
        <w:contextualSpacing/>
        <w:jc w:val="center"/>
        <w:rPr>
          <w:sz w:val="18"/>
          <w:szCs w:val="18"/>
          <w:lang w:val="en-US"/>
        </w:rPr>
      </w:pPr>
      <w:r w:rsidRPr="00DF5100">
        <w:rPr>
          <w:sz w:val="18"/>
          <w:szCs w:val="18"/>
          <w:lang w:val="en-US"/>
        </w:rPr>
        <w:t>Financing Agreement No.: UZB-0077</w:t>
      </w:r>
    </w:p>
    <w:p w14:paraId="712D22B4" w14:textId="77777777" w:rsidR="00085578" w:rsidRPr="00DF5100" w:rsidRDefault="00085578" w:rsidP="00085578">
      <w:pPr>
        <w:spacing w:before="120" w:after="120"/>
        <w:contextualSpacing/>
        <w:jc w:val="center"/>
        <w:rPr>
          <w:b/>
          <w:sz w:val="18"/>
          <w:szCs w:val="18"/>
          <w:lang w:val="en-US"/>
        </w:rPr>
      </w:pPr>
    </w:p>
    <w:p w14:paraId="6B993F23" w14:textId="0691A894" w:rsidR="00085578" w:rsidRPr="00DF5100" w:rsidRDefault="00085578" w:rsidP="00085578">
      <w:pPr>
        <w:spacing w:before="120" w:after="120"/>
        <w:contextualSpacing/>
        <w:jc w:val="center"/>
        <w:rPr>
          <w:b/>
          <w:sz w:val="18"/>
          <w:szCs w:val="18"/>
          <w:lang w:val="en-US"/>
        </w:rPr>
      </w:pPr>
      <w:r w:rsidRPr="00DF5100">
        <w:rPr>
          <w:b/>
          <w:sz w:val="18"/>
          <w:szCs w:val="18"/>
          <w:lang w:val="en-US"/>
        </w:rPr>
        <w:t xml:space="preserve">Contract Title: </w:t>
      </w:r>
      <w:r w:rsidR="00D55071" w:rsidRPr="00D55071">
        <w:rPr>
          <w:b/>
          <w:sz w:val="18"/>
          <w:szCs w:val="18"/>
          <w:lang w:val="en-US"/>
        </w:rPr>
        <w:t>Procurement of automation laboratory equipment, power and heat engineering laboratory equipment, TV and radio station equipment, hydraulics laboratory equipment and route relay centralization laboratory and teaching system</w:t>
      </w:r>
    </w:p>
    <w:p w14:paraId="71180358" w14:textId="3024C353" w:rsidR="00085578" w:rsidRPr="00D55071" w:rsidRDefault="00085578" w:rsidP="00085578">
      <w:pPr>
        <w:spacing w:before="120" w:after="120"/>
        <w:contextualSpacing/>
        <w:jc w:val="center"/>
        <w:rPr>
          <w:b/>
          <w:sz w:val="18"/>
          <w:szCs w:val="18"/>
          <w:lang w:val="en-US"/>
        </w:rPr>
      </w:pPr>
      <w:r w:rsidRPr="00DF5100">
        <w:rPr>
          <w:b/>
          <w:sz w:val="18"/>
          <w:szCs w:val="18"/>
          <w:lang w:val="es-ES_tradnl"/>
        </w:rPr>
        <w:t>ICB Reference No.: UZB-0077/ICB/</w:t>
      </w:r>
      <w:r w:rsidR="00DE2034" w:rsidRPr="00DF5100">
        <w:rPr>
          <w:b/>
          <w:sz w:val="18"/>
          <w:szCs w:val="18"/>
          <w:lang w:val="es-ES_tradnl"/>
        </w:rPr>
        <w:t>0</w:t>
      </w:r>
      <w:r w:rsidR="00D55071" w:rsidRPr="00D55071">
        <w:rPr>
          <w:b/>
          <w:sz w:val="18"/>
          <w:szCs w:val="18"/>
          <w:lang w:val="en-US"/>
        </w:rPr>
        <w:t>7</w:t>
      </w:r>
    </w:p>
    <w:p w14:paraId="41453AE2" w14:textId="77777777" w:rsidR="00085578" w:rsidRPr="00A46683" w:rsidRDefault="00085578" w:rsidP="00085578">
      <w:pPr>
        <w:spacing w:before="120" w:after="120"/>
        <w:rPr>
          <w:b/>
          <w:sz w:val="18"/>
          <w:szCs w:val="18"/>
          <w:lang w:val="es-ES_tradnl"/>
        </w:rPr>
      </w:pPr>
    </w:p>
    <w:p w14:paraId="17F0C9F1" w14:textId="2785F62C" w:rsidR="00085578" w:rsidRPr="00DF5100" w:rsidRDefault="00085578" w:rsidP="001B106E">
      <w:pPr>
        <w:pStyle w:val="a3"/>
        <w:numPr>
          <w:ilvl w:val="0"/>
          <w:numId w:val="1"/>
        </w:numPr>
        <w:tabs>
          <w:tab w:val="left" w:pos="284"/>
        </w:tabs>
        <w:suppressAutoHyphens/>
        <w:spacing w:before="120" w:after="120"/>
        <w:ind w:left="284" w:hanging="284"/>
        <w:jc w:val="both"/>
        <w:rPr>
          <w:spacing w:val="-2"/>
          <w:sz w:val="18"/>
          <w:szCs w:val="18"/>
          <w:lang w:val="en-US"/>
        </w:rPr>
      </w:pPr>
      <w:r w:rsidRPr="00DF5100">
        <w:rPr>
          <w:spacing w:val="-2"/>
          <w:sz w:val="18"/>
          <w:szCs w:val="18"/>
          <w:lang w:val="en-US"/>
        </w:rPr>
        <w:t>The</w:t>
      </w:r>
      <w:r w:rsidRPr="00DF5100">
        <w:rPr>
          <w:sz w:val="18"/>
          <w:szCs w:val="18"/>
          <w:lang w:val="en-US"/>
        </w:rPr>
        <w:t xml:space="preserve"> Government of the </w:t>
      </w:r>
      <w:r w:rsidRPr="00DF5100">
        <w:rPr>
          <w:spacing w:val="-2"/>
          <w:sz w:val="18"/>
          <w:szCs w:val="18"/>
          <w:lang w:val="en-US"/>
        </w:rPr>
        <w:t>Republic</w:t>
      </w:r>
      <w:r w:rsidRPr="00DF5100">
        <w:rPr>
          <w:sz w:val="18"/>
          <w:szCs w:val="18"/>
          <w:lang w:val="en-US"/>
        </w:rPr>
        <w:t xml:space="preserve"> of Uzbekistan has </w:t>
      </w:r>
      <w:r w:rsidR="005E0B38">
        <w:rPr>
          <w:sz w:val="18"/>
          <w:szCs w:val="18"/>
          <w:lang w:val="en-US"/>
        </w:rPr>
        <w:t xml:space="preserve">received </w:t>
      </w:r>
      <w:r w:rsidRPr="00DF5100">
        <w:rPr>
          <w:sz w:val="18"/>
          <w:szCs w:val="18"/>
          <w:lang w:val="en-US"/>
        </w:rPr>
        <w:t>for financing from the Islamic Development Bank (</w:t>
      </w:r>
      <w:proofErr w:type="spellStart"/>
      <w:r w:rsidRPr="00DF5100">
        <w:rPr>
          <w:sz w:val="18"/>
          <w:szCs w:val="18"/>
          <w:lang w:val="en-US"/>
        </w:rPr>
        <w:t>IsDB</w:t>
      </w:r>
      <w:proofErr w:type="spellEnd"/>
      <w:r w:rsidRPr="00DF5100">
        <w:rPr>
          <w:sz w:val="18"/>
          <w:szCs w:val="18"/>
          <w:lang w:val="en-US"/>
        </w:rPr>
        <w:t xml:space="preserve">) toward the cost of </w:t>
      </w:r>
      <w:r w:rsidRPr="00DF5100">
        <w:rPr>
          <w:b/>
          <w:sz w:val="18"/>
          <w:szCs w:val="18"/>
          <w:lang w:val="en-US"/>
        </w:rPr>
        <w:t>Support to the Development of Higher Education Project</w:t>
      </w:r>
      <w:r w:rsidRPr="00DF5100">
        <w:rPr>
          <w:sz w:val="18"/>
          <w:szCs w:val="18"/>
          <w:lang w:val="en-US"/>
        </w:rPr>
        <w:t xml:space="preserve">, and </w:t>
      </w:r>
      <w:r w:rsidR="000A4E8E" w:rsidRPr="00DF5100">
        <w:rPr>
          <w:sz w:val="18"/>
          <w:szCs w:val="18"/>
          <w:lang w:val="en-US"/>
        </w:rPr>
        <w:t xml:space="preserve">is going </w:t>
      </w:r>
      <w:r w:rsidRPr="00DF5100">
        <w:rPr>
          <w:sz w:val="18"/>
          <w:szCs w:val="18"/>
          <w:lang w:val="en-US"/>
        </w:rPr>
        <w:t xml:space="preserve">apply part of the proceeds toward payments under the contract for </w:t>
      </w:r>
      <w:r w:rsidR="00D55071" w:rsidRPr="00D55071">
        <w:rPr>
          <w:b/>
          <w:sz w:val="18"/>
          <w:szCs w:val="18"/>
          <w:lang w:val="en-US"/>
        </w:rPr>
        <w:t>Procurement of automation laboratory equipment, power and heat engineering laboratory equipment, TV and radio station equipment, hydraulics laboratory equipment and route relay centralization laboratory and teaching system</w:t>
      </w:r>
      <w:r w:rsidRPr="00DF5100">
        <w:rPr>
          <w:spacing w:val="-2"/>
          <w:sz w:val="18"/>
          <w:szCs w:val="18"/>
          <w:lang w:val="en-US"/>
        </w:rPr>
        <w:t>.</w:t>
      </w:r>
    </w:p>
    <w:p w14:paraId="0B7FF43A" w14:textId="23214A3B" w:rsidR="00085578" w:rsidRPr="00DF5100" w:rsidRDefault="00085578" w:rsidP="000A4E8E">
      <w:pPr>
        <w:pStyle w:val="a3"/>
        <w:numPr>
          <w:ilvl w:val="0"/>
          <w:numId w:val="1"/>
        </w:numPr>
        <w:tabs>
          <w:tab w:val="left" w:pos="284"/>
        </w:tabs>
        <w:suppressAutoHyphens/>
        <w:spacing w:before="120" w:after="120"/>
        <w:ind w:left="284" w:hanging="284"/>
        <w:jc w:val="both"/>
        <w:rPr>
          <w:spacing w:val="-2"/>
          <w:sz w:val="18"/>
          <w:szCs w:val="18"/>
          <w:lang w:val="en-US"/>
        </w:rPr>
      </w:pPr>
      <w:r w:rsidRPr="00DF5100">
        <w:rPr>
          <w:sz w:val="18"/>
          <w:szCs w:val="18"/>
          <w:lang w:val="en-US"/>
        </w:rPr>
        <w:t>The Ministry of Higher and Secondary Specialized Education of Uzbekistan now invites sealed bids from eligible Bidders for supply of the following equipment: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0"/>
        <w:gridCol w:w="5191"/>
      </w:tblGrid>
      <w:tr w:rsidR="00CB07BF" w:rsidRPr="00DF5100" w14:paraId="0C397D6F" w14:textId="77777777" w:rsidTr="00DE2034">
        <w:trPr>
          <w:trHeight w:val="20"/>
          <w:jc w:val="center"/>
        </w:trPr>
        <w:tc>
          <w:tcPr>
            <w:tcW w:w="1210" w:type="dxa"/>
            <w:shd w:val="clear" w:color="auto" w:fill="auto"/>
            <w:vAlign w:val="center"/>
          </w:tcPr>
          <w:p w14:paraId="053895BB" w14:textId="77777777" w:rsidR="00CB07BF" w:rsidRPr="00DF5100" w:rsidRDefault="00CB07BF" w:rsidP="006C6BEB">
            <w:pPr>
              <w:jc w:val="center"/>
              <w:rPr>
                <w:b/>
                <w:sz w:val="18"/>
                <w:szCs w:val="18"/>
                <w:lang w:val="en-US"/>
              </w:rPr>
            </w:pPr>
            <w:r w:rsidRPr="00DF5100">
              <w:rPr>
                <w:b/>
                <w:sz w:val="18"/>
                <w:szCs w:val="18"/>
                <w:lang w:val="en-US"/>
              </w:rPr>
              <w:t>Lots no.</w:t>
            </w:r>
          </w:p>
        </w:tc>
        <w:tc>
          <w:tcPr>
            <w:tcW w:w="5191" w:type="dxa"/>
            <w:shd w:val="clear" w:color="auto" w:fill="auto"/>
            <w:vAlign w:val="center"/>
          </w:tcPr>
          <w:p w14:paraId="66D4C940" w14:textId="3794C80B" w:rsidR="00CB07BF" w:rsidRPr="00DF5100" w:rsidRDefault="00CB07BF" w:rsidP="006C6BEB">
            <w:pPr>
              <w:jc w:val="center"/>
              <w:rPr>
                <w:b/>
                <w:bCs/>
                <w:sz w:val="18"/>
                <w:szCs w:val="18"/>
                <w:lang w:val="en-US"/>
              </w:rPr>
            </w:pPr>
            <w:r w:rsidRPr="00DF5100">
              <w:rPr>
                <w:b/>
                <w:bCs/>
                <w:sz w:val="18"/>
                <w:szCs w:val="18"/>
                <w:lang w:val="en-US"/>
              </w:rPr>
              <w:t>Name of lots</w:t>
            </w:r>
          </w:p>
        </w:tc>
      </w:tr>
      <w:tr w:rsidR="00D55071" w:rsidRPr="00443F27" w14:paraId="23BA35EC" w14:textId="77777777" w:rsidTr="00DE2034">
        <w:trPr>
          <w:trHeight w:val="20"/>
          <w:jc w:val="center"/>
        </w:trPr>
        <w:tc>
          <w:tcPr>
            <w:tcW w:w="1210" w:type="dxa"/>
            <w:shd w:val="clear" w:color="auto" w:fill="auto"/>
            <w:vAlign w:val="center"/>
          </w:tcPr>
          <w:p w14:paraId="148DD55B" w14:textId="77777777" w:rsidR="00D55071" w:rsidRPr="00DF5100" w:rsidRDefault="00D55071" w:rsidP="00D55071">
            <w:pPr>
              <w:jc w:val="center"/>
              <w:rPr>
                <w:sz w:val="18"/>
                <w:szCs w:val="18"/>
                <w:lang w:val="en-US"/>
              </w:rPr>
            </w:pPr>
            <w:r w:rsidRPr="00DF5100">
              <w:rPr>
                <w:sz w:val="18"/>
                <w:szCs w:val="18"/>
                <w:lang w:val="en-US"/>
              </w:rPr>
              <w:t>1</w:t>
            </w:r>
          </w:p>
        </w:tc>
        <w:tc>
          <w:tcPr>
            <w:tcW w:w="5191" w:type="dxa"/>
            <w:shd w:val="clear" w:color="auto" w:fill="auto"/>
          </w:tcPr>
          <w:p w14:paraId="203EC938" w14:textId="7C9DD298" w:rsidR="00D55071" w:rsidRPr="00D55071" w:rsidRDefault="00D55071" w:rsidP="00D55071">
            <w:pPr>
              <w:jc w:val="center"/>
              <w:rPr>
                <w:sz w:val="18"/>
                <w:szCs w:val="18"/>
                <w:lang w:val="en-US"/>
              </w:rPr>
            </w:pPr>
            <w:r w:rsidRPr="00D55071">
              <w:rPr>
                <w:sz w:val="18"/>
                <w:szCs w:val="18"/>
                <w:lang w:val="en-US"/>
              </w:rPr>
              <w:t>Automation Laboratory Equipment and Industrial Robot</w:t>
            </w:r>
          </w:p>
        </w:tc>
      </w:tr>
      <w:tr w:rsidR="00D55071" w:rsidRPr="00443F27" w14:paraId="5946CFA1" w14:textId="77777777" w:rsidTr="00DE2034">
        <w:trPr>
          <w:trHeight w:val="20"/>
          <w:jc w:val="center"/>
        </w:trPr>
        <w:tc>
          <w:tcPr>
            <w:tcW w:w="1210" w:type="dxa"/>
            <w:shd w:val="clear" w:color="auto" w:fill="auto"/>
            <w:vAlign w:val="center"/>
          </w:tcPr>
          <w:p w14:paraId="39B36AA3" w14:textId="77777777" w:rsidR="00D55071" w:rsidRPr="00DF5100" w:rsidRDefault="00D55071" w:rsidP="00D55071">
            <w:pPr>
              <w:jc w:val="center"/>
              <w:rPr>
                <w:sz w:val="18"/>
                <w:szCs w:val="18"/>
                <w:lang w:val="en-US"/>
              </w:rPr>
            </w:pPr>
            <w:r w:rsidRPr="00DF5100">
              <w:rPr>
                <w:sz w:val="18"/>
                <w:szCs w:val="18"/>
                <w:lang w:val="en-US"/>
              </w:rPr>
              <w:t>2</w:t>
            </w:r>
          </w:p>
        </w:tc>
        <w:tc>
          <w:tcPr>
            <w:tcW w:w="5191" w:type="dxa"/>
            <w:shd w:val="clear" w:color="auto" w:fill="auto"/>
          </w:tcPr>
          <w:p w14:paraId="330EC921" w14:textId="4DA4FFBD" w:rsidR="00D55071" w:rsidRPr="00D55071" w:rsidRDefault="00D55071" w:rsidP="00D55071">
            <w:pPr>
              <w:jc w:val="center"/>
              <w:rPr>
                <w:sz w:val="18"/>
                <w:szCs w:val="18"/>
                <w:lang w:val="en-US"/>
              </w:rPr>
            </w:pPr>
            <w:r w:rsidRPr="00D55071">
              <w:rPr>
                <w:sz w:val="18"/>
                <w:szCs w:val="18"/>
                <w:lang w:val="en-US"/>
              </w:rPr>
              <w:t>Power and Heat Engineering Laboratory Equipment</w:t>
            </w:r>
          </w:p>
        </w:tc>
      </w:tr>
      <w:tr w:rsidR="00D55071" w:rsidRPr="00443F27" w14:paraId="41ABEC7F" w14:textId="77777777" w:rsidTr="00DE2034">
        <w:trPr>
          <w:trHeight w:val="20"/>
          <w:jc w:val="center"/>
        </w:trPr>
        <w:tc>
          <w:tcPr>
            <w:tcW w:w="1210" w:type="dxa"/>
            <w:shd w:val="clear" w:color="auto" w:fill="auto"/>
            <w:vAlign w:val="center"/>
          </w:tcPr>
          <w:p w14:paraId="0C9828C3" w14:textId="77777777" w:rsidR="00D55071" w:rsidRPr="00DF5100" w:rsidRDefault="00D55071" w:rsidP="00D55071">
            <w:pPr>
              <w:jc w:val="center"/>
              <w:rPr>
                <w:sz w:val="18"/>
                <w:szCs w:val="18"/>
                <w:lang w:val="en-US"/>
              </w:rPr>
            </w:pPr>
            <w:r w:rsidRPr="00DF5100">
              <w:rPr>
                <w:sz w:val="18"/>
                <w:szCs w:val="18"/>
                <w:lang w:val="en-US"/>
              </w:rPr>
              <w:t>3</w:t>
            </w:r>
          </w:p>
        </w:tc>
        <w:tc>
          <w:tcPr>
            <w:tcW w:w="5191" w:type="dxa"/>
            <w:shd w:val="clear" w:color="auto" w:fill="auto"/>
          </w:tcPr>
          <w:p w14:paraId="44606914" w14:textId="4DF3CC80" w:rsidR="00D55071" w:rsidRPr="00D55071" w:rsidRDefault="00D55071" w:rsidP="00D55071">
            <w:pPr>
              <w:jc w:val="center"/>
              <w:rPr>
                <w:sz w:val="18"/>
                <w:szCs w:val="18"/>
                <w:lang w:val="en-US"/>
              </w:rPr>
            </w:pPr>
            <w:r w:rsidRPr="00D55071">
              <w:rPr>
                <w:sz w:val="18"/>
                <w:szCs w:val="18"/>
                <w:lang w:val="en-US"/>
              </w:rPr>
              <w:t>TV and Radio Station Equipment</w:t>
            </w:r>
          </w:p>
        </w:tc>
      </w:tr>
      <w:tr w:rsidR="00D55071" w:rsidRPr="00D55071" w14:paraId="2A41AAA1" w14:textId="77777777" w:rsidTr="00DE2034">
        <w:trPr>
          <w:trHeight w:val="20"/>
          <w:jc w:val="center"/>
        </w:trPr>
        <w:tc>
          <w:tcPr>
            <w:tcW w:w="1210" w:type="dxa"/>
            <w:shd w:val="clear" w:color="auto" w:fill="auto"/>
            <w:vAlign w:val="center"/>
          </w:tcPr>
          <w:p w14:paraId="7B9CA1DE" w14:textId="77777777" w:rsidR="00D55071" w:rsidRPr="00DF5100" w:rsidRDefault="00D55071" w:rsidP="00D55071">
            <w:pPr>
              <w:jc w:val="center"/>
              <w:rPr>
                <w:sz w:val="18"/>
                <w:szCs w:val="18"/>
                <w:lang w:val="en-US"/>
              </w:rPr>
            </w:pPr>
            <w:r w:rsidRPr="00DF5100">
              <w:rPr>
                <w:sz w:val="18"/>
                <w:szCs w:val="18"/>
                <w:lang w:val="en-US"/>
              </w:rPr>
              <w:t>4</w:t>
            </w:r>
          </w:p>
        </w:tc>
        <w:tc>
          <w:tcPr>
            <w:tcW w:w="5191" w:type="dxa"/>
            <w:shd w:val="clear" w:color="auto" w:fill="auto"/>
          </w:tcPr>
          <w:p w14:paraId="42FACAC4" w14:textId="1CF93859" w:rsidR="00D55071" w:rsidRPr="00D55071" w:rsidRDefault="00D55071" w:rsidP="00D55071">
            <w:pPr>
              <w:jc w:val="center"/>
              <w:rPr>
                <w:sz w:val="18"/>
                <w:szCs w:val="18"/>
                <w:lang w:val="en-US"/>
              </w:rPr>
            </w:pPr>
            <w:r w:rsidRPr="00D55071">
              <w:rPr>
                <w:sz w:val="18"/>
                <w:szCs w:val="18"/>
                <w:lang w:val="en-US"/>
              </w:rPr>
              <w:t>Hydraulics Laboratory Equipment</w:t>
            </w:r>
          </w:p>
        </w:tc>
      </w:tr>
      <w:tr w:rsidR="00D55071" w:rsidRPr="00443F27" w14:paraId="77F2F546" w14:textId="77777777" w:rsidTr="00DE2034">
        <w:trPr>
          <w:trHeight w:val="20"/>
          <w:jc w:val="center"/>
        </w:trPr>
        <w:tc>
          <w:tcPr>
            <w:tcW w:w="1210" w:type="dxa"/>
            <w:shd w:val="clear" w:color="auto" w:fill="auto"/>
            <w:vAlign w:val="center"/>
          </w:tcPr>
          <w:p w14:paraId="4C5C0500" w14:textId="3EB863A9" w:rsidR="00D55071" w:rsidRPr="004917AC" w:rsidRDefault="00D55071" w:rsidP="00D55071">
            <w:pPr>
              <w:jc w:val="center"/>
              <w:rPr>
                <w:sz w:val="18"/>
                <w:szCs w:val="18"/>
              </w:rPr>
            </w:pPr>
            <w:r>
              <w:rPr>
                <w:sz w:val="18"/>
                <w:szCs w:val="18"/>
              </w:rPr>
              <w:t>5</w:t>
            </w:r>
          </w:p>
        </w:tc>
        <w:tc>
          <w:tcPr>
            <w:tcW w:w="5191" w:type="dxa"/>
            <w:shd w:val="clear" w:color="auto" w:fill="auto"/>
          </w:tcPr>
          <w:p w14:paraId="0138B7E1" w14:textId="1FF36CC0" w:rsidR="00D55071" w:rsidRPr="004917AC" w:rsidRDefault="00D55071" w:rsidP="00D55071">
            <w:pPr>
              <w:jc w:val="center"/>
              <w:rPr>
                <w:sz w:val="18"/>
                <w:szCs w:val="18"/>
                <w:lang w:val="en-US"/>
              </w:rPr>
            </w:pPr>
            <w:r w:rsidRPr="00D55071">
              <w:rPr>
                <w:sz w:val="18"/>
                <w:szCs w:val="18"/>
                <w:lang w:val="en-US"/>
              </w:rPr>
              <w:t>Route Relay Centralization Laboratory and Teaching System</w:t>
            </w:r>
          </w:p>
        </w:tc>
      </w:tr>
    </w:tbl>
    <w:p w14:paraId="7D90D832" w14:textId="77777777" w:rsidR="00085578" w:rsidRPr="00DF5100" w:rsidRDefault="00085578" w:rsidP="00085578">
      <w:pPr>
        <w:pStyle w:val="a3"/>
        <w:suppressAutoHyphens/>
        <w:spacing w:before="120" w:after="120"/>
        <w:ind w:left="284"/>
        <w:jc w:val="both"/>
        <w:rPr>
          <w:sz w:val="18"/>
          <w:szCs w:val="18"/>
          <w:lang w:val="en-US"/>
        </w:rPr>
      </w:pPr>
      <w:r w:rsidRPr="00DF5100">
        <w:rPr>
          <w:sz w:val="18"/>
          <w:szCs w:val="18"/>
          <w:lang w:val="en-US"/>
        </w:rPr>
        <w:t>Bidder may bid for any lot or all lots. Each lot must be priced separately. Bid for a particular lot must contain all item of the lot. Given the item is complex equipment, the bid should include all required components of the particular item. Bids will be evaluated and contracts will be awarded for every lot separately.</w:t>
      </w:r>
    </w:p>
    <w:p w14:paraId="38C2FD56" w14:textId="1BECE58F" w:rsidR="00085578" w:rsidRPr="00DF5100" w:rsidRDefault="00085578" w:rsidP="00085578">
      <w:pPr>
        <w:pStyle w:val="a3"/>
        <w:suppressAutoHyphens/>
        <w:spacing w:before="120" w:after="120"/>
        <w:ind w:left="284"/>
        <w:jc w:val="both"/>
        <w:rPr>
          <w:spacing w:val="-2"/>
          <w:sz w:val="18"/>
          <w:szCs w:val="18"/>
          <w:lang w:val="en-US"/>
        </w:rPr>
      </w:pPr>
      <w:r w:rsidRPr="00DF5100">
        <w:rPr>
          <w:sz w:val="18"/>
          <w:szCs w:val="18"/>
          <w:lang w:val="en-US"/>
        </w:rPr>
        <w:t>Qualifications requirements include: (a) financial capability, (b) experience and technical capacity, (c) compliance of supplied goods with applicable schedule of requirements and technical specifications. Preferences to local suppliers do not apply. Additional information is provided in the Bidding Documents.</w:t>
      </w:r>
    </w:p>
    <w:p w14:paraId="2B7D99CB" w14:textId="7F6C7924" w:rsidR="00085578" w:rsidRPr="00DF5100" w:rsidRDefault="00085578" w:rsidP="00B10AE8">
      <w:pPr>
        <w:pStyle w:val="a3"/>
        <w:numPr>
          <w:ilvl w:val="0"/>
          <w:numId w:val="1"/>
        </w:numPr>
        <w:tabs>
          <w:tab w:val="left" w:pos="284"/>
        </w:tabs>
        <w:suppressAutoHyphens/>
        <w:spacing w:before="120" w:after="120"/>
        <w:ind w:left="284" w:hanging="284"/>
        <w:jc w:val="both"/>
        <w:rPr>
          <w:spacing w:val="-2"/>
          <w:sz w:val="18"/>
          <w:szCs w:val="18"/>
          <w:lang w:val="en-US"/>
        </w:rPr>
      </w:pPr>
      <w:r w:rsidRPr="00DF5100">
        <w:rPr>
          <w:spacing w:val="-2"/>
          <w:sz w:val="18"/>
          <w:szCs w:val="18"/>
          <w:lang w:val="en-US"/>
        </w:rPr>
        <w:t xml:space="preserve">Bidding will be conducted through the International Competitive Bidding (ICB) as specified in </w:t>
      </w:r>
      <w:proofErr w:type="spellStart"/>
      <w:r w:rsidRPr="00DF5100">
        <w:rPr>
          <w:spacing w:val="-2"/>
          <w:sz w:val="18"/>
          <w:szCs w:val="18"/>
          <w:lang w:val="en-US"/>
        </w:rPr>
        <w:t>IsDB’s</w:t>
      </w:r>
      <w:proofErr w:type="spellEnd"/>
      <w:r w:rsidRPr="00DF5100">
        <w:rPr>
          <w:spacing w:val="-2"/>
          <w:sz w:val="18"/>
          <w:szCs w:val="18"/>
          <w:lang w:val="en-US"/>
        </w:rPr>
        <w:t xml:space="preserve"> </w:t>
      </w:r>
      <w:r w:rsidRPr="00DF5100">
        <w:rPr>
          <w:i/>
          <w:spacing w:val="-2"/>
          <w:sz w:val="18"/>
          <w:szCs w:val="18"/>
          <w:lang w:val="en-US"/>
        </w:rPr>
        <w:t xml:space="preserve">Guidelines: </w:t>
      </w:r>
      <w:r w:rsidRPr="00DF5100">
        <w:rPr>
          <w:i/>
          <w:spacing w:val="-2"/>
          <w:sz w:val="18"/>
          <w:szCs w:val="18"/>
          <w:u w:val="single"/>
          <w:lang w:val="en-US"/>
        </w:rPr>
        <w:t>Procurement of Goods, Works and related services under Islamic Development Bank Project Financing, April 2019</w:t>
      </w:r>
      <w:r w:rsidRPr="00DF5100">
        <w:rPr>
          <w:spacing w:val="-2"/>
          <w:sz w:val="18"/>
          <w:szCs w:val="18"/>
          <w:lang w:val="en-US"/>
        </w:rPr>
        <w:t xml:space="preserve">, and is open to all eligible bidders as defined in the Procurement Guidelines. In addition, please refer to paragraphs 1.18 </w:t>
      </w:r>
      <w:r w:rsidR="00D7390D">
        <w:rPr>
          <w:spacing w:val="-2"/>
          <w:sz w:val="18"/>
          <w:szCs w:val="18"/>
          <w:lang w:val="en-US"/>
        </w:rPr>
        <w:t xml:space="preserve">– </w:t>
      </w:r>
      <w:r w:rsidRPr="00DF5100">
        <w:rPr>
          <w:spacing w:val="-2"/>
          <w:sz w:val="18"/>
          <w:szCs w:val="18"/>
          <w:lang w:val="en-US"/>
        </w:rPr>
        <w:t xml:space="preserve">21 setting forth </w:t>
      </w:r>
      <w:proofErr w:type="spellStart"/>
      <w:r w:rsidRPr="00DF5100">
        <w:rPr>
          <w:spacing w:val="-2"/>
          <w:sz w:val="18"/>
          <w:szCs w:val="18"/>
          <w:lang w:val="en-US"/>
        </w:rPr>
        <w:t>IsDB’s</w:t>
      </w:r>
      <w:proofErr w:type="spellEnd"/>
      <w:r w:rsidRPr="00DF5100">
        <w:rPr>
          <w:spacing w:val="-2"/>
          <w:sz w:val="18"/>
          <w:szCs w:val="18"/>
          <w:lang w:val="en-US"/>
        </w:rPr>
        <w:t xml:space="preserve"> policy on conflict of interest.</w:t>
      </w:r>
    </w:p>
    <w:p w14:paraId="0C81DA83" w14:textId="77777777" w:rsidR="00085578" w:rsidRPr="00DF5100" w:rsidRDefault="00085578" w:rsidP="00B10AE8">
      <w:pPr>
        <w:pStyle w:val="a3"/>
        <w:numPr>
          <w:ilvl w:val="0"/>
          <w:numId w:val="1"/>
        </w:numPr>
        <w:tabs>
          <w:tab w:val="left" w:pos="284"/>
        </w:tabs>
        <w:suppressAutoHyphens/>
        <w:spacing w:before="120" w:after="120"/>
        <w:ind w:left="284" w:hanging="284"/>
        <w:jc w:val="both"/>
        <w:rPr>
          <w:spacing w:val="-2"/>
          <w:sz w:val="18"/>
          <w:szCs w:val="18"/>
          <w:lang w:val="en-US"/>
        </w:rPr>
      </w:pPr>
      <w:r w:rsidRPr="00DF5100">
        <w:rPr>
          <w:spacing w:val="-2"/>
          <w:sz w:val="18"/>
          <w:szCs w:val="18"/>
          <w:lang w:val="en-US"/>
        </w:rPr>
        <w:t>Interested eligible bidders may obtain further information from</w:t>
      </w:r>
      <w:r w:rsidRPr="00DF5100">
        <w:rPr>
          <w:b/>
          <w:sz w:val="18"/>
          <w:szCs w:val="18"/>
          <w:lang w:val="en-US"/>
        </w:rPr>
        <w:t xml:space="preserve"> </w:t>
      </w:r>
      <w:r w:rsidRPr="00DF5100">
        <w:rPr>
          <w:spacing w:val="-2"/>
          <w:sz w:val="18"/>
          <w:szCs w:val="18"/>
          <w:lang w:val="en-US"/>
        </w:rPr>
        <w:t xml:space="preserve">Project management Unit (UZB-0077) of the </w:t>
      </w:r>
      <w:r w:rsidRPr="00DF5100">
        <w:rPr>
          <w:sz w:val="18"/>
          <w:szCs w:val="18"/>
          <w:lang w:val="en-US"/>
        </w:rPr>
        <w:t>Ministry of Higher and Secondary Specialized Education of Uzbekistan (</w:t>
      </w:r>
      <w:hyperlink r:id="rId5" w:history="1">
        <w:r w:rsidRPr="00DF5100">
          <w:rPr>
            <w:rStyle w:val="a5"/>
            <w:sz w:val="18"/>
            <w:szCs w:val="18"/>
            <w:lang w:val="en-US" w:eastAsia="en-US"/>
          </w:rPr>
          <w:t>uzb.0077isdb@gmail.com</w:t>
        </w:r>
      </w:hyperlink>
      <w:r w:rsidRPr="00DF5100">
        <w:rPr>
          <w:sz w:val="18"/>
          <w:szCs w:val="18"/>
          <w:lang w:val="en-US"/>
        </w:rPr>
        <w:t>) and inspect the bidding</w:t>
      </w:r>
      <w:r w:rsidRPr="00DF5100">
        <w:rPr>
          <w:spacing w:val="-2"/>
          <w:sz w:val="18"/>
          <w:szCs w:val="18"/>
          <w:lang w:val="en-US" w:eastAsia="en-US"/>
        </w:rPr>
        <w:t xml:space="preserve"> </w:t>
      </w:r>
      <w:r w:rsidRPr="00DF5100">
        <w:rPr>
          <w:sz w:val="18"/>
          <w:szCs w:val="18"/>
          <w:lang w:val="en-US"/>
        </w:rPr>
        <w:t>documents during office hours (09:00 – 18:00) at the address given below.</w:t>
      </w:r>
    </w:p>
    <w:p w14:paraId="6CA89E4A" w14:textId="3E60CAEE" w:rsidR="00085578" w:rsidRPr="00DF5100" w:rsidRDefault="00085578" w:rsidP="00B10AE8">
      <w:pPr>
        <w:pStyle w:val="a3"/>
        <w:numPr>
          <w:ilvl w:val="0"/>
          <w:numId w:val="1"/>
        </w:numPr>
        <w:tabs>
          <w:tab w:val="left" w:pos="284"/>
        </w:tabs>
        <w:suppressAutoHyphens/>
        <w:spacing w:before="120" w:after="120"/>
        <w:ind w:left="284" w:hanging="284"/>
        <w:jc w:val="both"/>
        <w:rPr>
          <w:spacing w:val="-2"/>
          <w:sz w:val="18"/>
          <w:szCs w:val="18"/>
          <w:lang w:val="en-US"/>
        </w:rPr>
      </w:pPr>
      <w:r w:rsidRPr="00DF5100">
        <w:rPr>
          <w:sz w:val="18"/>
          <w:szCs w:val="18"/>
          <w:lang w:val="en-US"/>
        </w:rPr>
        <w:t>An electronic complete set of the Bidding Documents in English will be sent to interested bidders by email (</w:t>
      </w:r>
      <w:hyperlink r:id="rId6" w:history="1">
        <w:r w:rsidRPr="00DF5100">
          <w:rPr>
            <w:rStyle w:val="a5"/>
            <w:sz w:val="18"/>
            <w:szCs w:val="18"/>
            <w:lang w:val="en-US" w:eastAsia="en-US"/>
          </w:rPr>
          <w:t>uzb.0077isdb@gmail.com</w:t>
        </w:r>
      </w:hyperlink>
      <w:r w:rsidRPr="00DF5100">
        <w:rPr>
          <w:sz w:val="18"/>
          <w:szCs w:val="18"/>
          <w:lang w:val="en-US"/>
        </w:rPr>
        <w:t>) upon a written Request. The Request shall include the project name, ICB No: UZB-0077/ICB/</w:t>
      </w:r>
      <w:r w:rsidR="00DE2034" w:rsidRPr="00DF5100">
        <w:rPr>
          <w:sz w:val="18"/>
          <w:szCs w:val="18"/>
          <w:lang w:val="en-US"/>
        </w:rPr>
        <w:t>0</w:t>
      </w:r>
      <w:r w:rsidR="00D55071" w:rsidRPr="00D55071">
        <w:rPr>
          <w:sz w:val="18"/>
          <w:szCs w:val="18"/>
          <w:lang w:val="en-US"/>
        </w:rPr>
        <w:t>7</w:t>
      </w:r>
      <w:r w:rsidRPr="00DF5100">
        <w:rPr>
          <w:sz w:val="18"/>
          <w:szCs w:val="18"/>
          <w:lang w:val="en-US"/>
        </w:rPr>
        <w:t>, full name, country of origin, and address of the Bidder.</w:t>
      </w:r>
    </w:p>
    <w:p w14:paraId="1BCD80C2" w14:textId="53CA65BA" w:rsidR="00085578" w:rsidRPr="00DF5100" w:rsidRDefault="00085578" w:rsidP="00B10AE8">
      <w:pPr>
        <w:pStyle w:val="a3"/>
        <w:numPr>
          <w:ilvl w:val="0"/>
          <w:numId w:val="1"/>
        </w:numPr>
        <w:tabs>
          <w:tab w:val="left" w:pos="284"/>
        </w:tabs>
        <w:suppressAutoHyphens/>
        <w:spacing w:before="120" w:after="120"/>
        <w:ind w:left="284" w:hanging="284"/>
        <w:jc w:val="both"/>
        <w:rPr>
          <w:spacing w:val="-2"/>
          <w:sz w:val="18"/>
          <w:szCs w:val="18"/>
          <w:lang w:val="en-US"/>
        </w:rPr>
      </w:pPr>
      <w:r w:rsidRPr="00DF5100">
        <w:rPr>
          <w:sz w:val="18"/>
          <w:szCs w:val="18"/>
          <w:lang w:val="en-US"/>
        </w:rPr>
        <w:t xml:space="preserve">Bids must be delivered to the address of the Ministry of Higher and Secondary Specialized Education of Uzbekistan below, no later than </w:t>
      </w:r>
      <w:r w:rsidRPr="00DF5100">
        <w:rPr>
          <w:b/>
          <w:sz w:val="18"/>
          <w:szCs w:val="18"/>
          <w:lang w:val="en-US"/>
        </w:rPr>
        <w:t>15:00 (Tashkent time) on</w:t>
      </w:r>
      <w:r w:rsidR="00E66E19">
        <w:rPr>
          <w:b/>
          <w:sz w:val="18"/>
          <w:szCs w:val="18"/>
          <w:lang w:val="en-US"/>
        </w:rPr>
        <w:t xml:space="preserve"> the</w:t>
      </w:r>
      <w:r w:rsidR="004D2237">
        <w:rPr>
          <w:b/>
          <w:sz w:val="18"/>
          <w:szCs w:val="18"/>
          <w:lang w:val="en-US"/>
        </w:rPr>
        <w:t xml:space="preserve"> 19</w:t>
      </w:r>
      <w:r w:rsidR="004D2237" w:rsidRPr="004D2237">
        <w:rPr>
          <w:b/>
          <w:sz w:val="18"/>
          <w:szCs w:val="18"/>
          <w:vertAlign w:val="superscript"/>
          <w:lang w:val="en-US"/>
        </w:rPr>
        <w:t>th</w:t>
      </w:r>
      <w:r w:rsidR="004D2237">
        <w:rPr>
          <w:b/>
          <w:sz w:val="18"/>
          <w:szCs w:val="18"/>
          <w:lang w:val="en-US"/>
        </w:rPr>
        <w:t xml:space="preserve"> of October</w:t>
      </w:r>
      <w:r w:rsidRPr="00DF5100">
        <w:rPr>
          <w:b/>
          <w:sz w:val="18"/>
          <w:szCs w:val="18"/>
          <w:lang w:val="en-US"/>
        </w:rPr>
        <w:t xml:space="preserve">, </w:t>
      </w:r>
      <w:r w:rsidR="00DE2034" w:rsidRPr="00DF5100">
        <w:rPr>
          <w:b/>
          <w:sz w:val="18"/>
          <w:szCs w:val="18"/>
          <w:lang w:val="en-US"/>
        </w:rPr>
        <w:t>202</w:t>
      </w:r>
      <w:r w:rsidR="00B3094E" w:rsidRPr="00B3094E">
        <w:rPr>
          <w:b/>
          <w:sz w:val="18"/>
          <w:szCs w:val="18"/>
          <w:lang w:val="en-US"/>
        </w:rPr>
        <w:t>2</w:t>
      </w:r>
      <w:r w:rsidRPr="00DF5100">
        <w:rPr>
          <w:sz w:val="18"/>
          <w:szCs w:val="18"/>
          <w:lang w:val="en-US"/>
        </w:rPr>
        <w:t xml:space="preserve">. Electronic bidding will not be permitted. Late bids will be rejected. Bids will be publicly opened in the presence of the bidders’ designated representatives and anyone who choose to attend at the address below at </w:t>
      </w:r>
      <w:r w:rsidRPr="00DF5100">
        <w:rPr>
          <w:b/>
          <w:sz w:val="18"/>
          <w:szCs w:val="18"/>
          <w:lang w:val="en-US"/>
        </w:rPr>
        <w:t>15:10 (Tashkent time) on</w:t>
      </w:r>
      <w:r w:rsidR="00E66E19" w:rsidRPr="00E66E19">
        <w:rPr>
          <w:b/>
          <w:sz w:val="18"/>
          <w:szCs w:val="18"/>
          <w:lang w:val="en-US"/>
        </w:rPr>
        <w:t xml:space="preserve"> </w:t>
      </w:r>
      <w:r w:rsidR="00E66E19">
        <w:rPr>
          <w:b/>
          <w:sz w:val="18"/>
          <w:szCs w:val="18"/>
          <w:lang w:val="en-US"/>
        </w:rPr>
        <w:t>the</w:t>
      </w:r>
      <w:r w:rsidR="00E66E19" w:rsidRPr="00DF5100">
        <w:rPr>
          <w:b/>
          <w:sz w:val="18"/>
          <w:szCs w:val="18"/>
          <w:lang w:val="en-US"/>
        </w:rPr>
        <w:t xml:space="preserve"> </w:t>
      </w:r>
      <w:r w:rsidR="004D2237">
        <w:rPr>
          <w:b/>
          <w:sz w:val="18"/>
          <w:szCs w:val="18"/>
          <w:lang w:val="en-US"/>
        </w:rPr>
        <w:t>19</w:t>
      </w:r>
      <w:r w:rsidR="004D2237" w:rsidRPr="004D2237">
        <w:rPr>
          <w:b/>
          <w:sz w:val="18"/>
          <w:szCs w:val="18"/>
          <w:vertAlign w:val="superscript"/>
          <w:lang w:val="en-US"/>
        </w:rPr>
        <w:t>th</w:t>
      </w:r>
      <w:r w:rsidR="004D2237">
        <w:rPr>
          <w:b/>
          <w:sz w:val="18"/>
          <w:szCs w:val="18"/>
          <w:lang w:val="en-US"/>
        </w:rPr>
        <w:t xml:space="preserve"> of October</w:t>
      </w:r>
      <w:r w:rsidR="00E66E19" w:rsidRPr="00DF5100">
        <w:rPr>
          <w:b/>
          <w:sz w:val="18"/>
          <w:szCs w:val="18"/>
          <w:lang w:val="en-US"/>
        </w:rPr>
        <w:t xml:space="preserve">, </w:t>
      </w:r>
      <w:r w:rsidR="00DE2034" w:rsidRPr="00DF5100">
        <w:rPr>
          <w:b/>
          <w:sz w:val="18"/>
          <w:szCs w:val="18"/>
          <w:lang w:val="en-US"/>
        </w:rPr>
        <w:t>202</w:t>
      </w:r>
      <w:r w:rsidR="00B3094E" w:rsidRPr="00B3094E">
        <w:rPr>
          <w:b/>
          <w:sz w:val="18"/>
          <w:szCs w:val="18"/>
          <w:lang w:val="en-US"/>
        </w:rPr>
        <w:t>2</w:t>
      </w:r>
      <w:r w:rsidRPr="00DF5100">
        <w:rPr>
          <w:b/>
          <w:sz w:val="18"/>
          <w:szCs w:val="18"/>
          <w:lang w:val="en-US"/>
        </w:rPr>
        <w:t>.</w:t>
      </w:r>
    </w:p>
    <w:p w14:paraId="35D16054" w14:textId="59B2CAD9" w:rsidR="00085578" w:rsidRPr="00DF5100" w:rsidRDefault="00085578" w:rsidP="00B10AE8">
      <w:pPr>
        <w:pStyle w:val="a3"/>
        <w:numPr>
          <w:ilvl w:val="0"/>
          <w:numId w:val="1"/>
        </w:numPr>
        <w:tabs>
          <w:tab w:val="left" w:pos="284"/>
        </w:tabs>
        <w:suppressAutoHyphens/>
        <w:spacing w:before="120" w:after="120"/>
        <w:ind w:left="284" w:hanging="284"/>
        <w:jc w:val="both"/>
        <w:rPr>
          <w:sz w:val="18"/>
          <w:szCs w:val="18"/>
          <w:lang w:val="en-US"/>
        </w:rPr>
      </w:pPr>
      <w:r w:rsidRPr="00DF5100">
        <w:rPr>
          <w:sz w:val="18"/>
          <w:szCs w:val="18"/>
          <w:lang w:val="en-US"/>
        </w:rPr>
        <w:t>All bids must be accompanied by an original Bid Security of the following amounts equivalent 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0"/>
        <w:gridCol w:w="2801"/>
      </w:tblGrid>
      <w:tr w:rsidR="00F4364C" w:rsidRPr="00DF5100" w14:paraId="61DD899D" w14:textId="77777777" w:rsidTr="00E3341F">
        <w:trPr>
          <w:trHeight w:val="20"/>
          <w:jc w:val="center"/>
        </w:trPr>
        <w:tc>
          <w:tcPr>
            <w:tcW w:w="1210" w:type="dxa"/>
            <w:shd w:val="clear" w:color="auto" w:fill="auto"/>
            <w:vAlign w:val="center"/>
          </w:tcPr>
          <w:p w14:paraId="11445706" w14:textId="77777777" w:rsidR="00F4364C" w:rsidRPr="00DF5100" w:rsidRDefault="00F4364C" w:rsidP="00F4364C">
            <w:pPr>
              <w:jc w:val="center"/>
              <w:rPr>
                <w:b/>
                <w:sz w:val="18"/>
                <w:szCs w:val="18"/>
                <w:lang w:val="en-US"/>
              </w:rPr>
            </w:pPr>
            <w:r w:rsidRPr="00DF5100">
              <w:rPr>
                <w:b/>
                <w:sz w:val="18"/>
                <w:szCs w:val="18"/>
                <w:lang w:val="en-US"/>
              </w:rPr>
              <w:t>Lots no.</w:t>
            </w:r>
          </w:p>
        </w:tc>
        <w:tc>
          <w:tcPr>
            <w:tcW w:w="2801" w:type="dxa"/>
            <w:shd w:val="clear" w:color="auto" w:fill="auto"/>
            <w:vAlign w:val="center"/>
          </w:tcPr>
          <w:p w14:paraId="05CB4332" w14:textId="77777777" w:rsidR="00F4364C" w:rsidRPr="00DF5100" w:rsidRDefault="00F4364C" w:rsidP="00F4364C">
            <w:pPr>
              <w:jc w:val="center"/>
              <w:rPr>
                <w:b/>
                <w:bCs/>
                <w:sz w:val="18"/>
                <w:szCs w:val="18"/>
                <w:lang w:val="en-US"/>
              </w:rPr>
            </w:pPr>
            <w:r w:rsidRPr="00DF5100">
              <w:rPr>
                <w:b/>
                <w:bCs/>
                <w:sz w:val="18"/>
                <w:szCs w:val="18"/>
                <w:lang w:val="en-US"/>
              </w:rPr>
              <w:t>Amount of Bid Security</w:t>
            </w:r>
          </w:p>
        </w:tc>
      </w:tr>
      <w:tr w:rsidR="00D55071" w:rsidRPr="00DF5100" w14:paraId="4C4D1970" w14:textId="77777777" w:rsidTr="009A7A15">
        <w:trPr>
          <w:trHeight w:val="20"/>
          <w:jc w:val="center"/>
        </w:trPr>
        <w:tc>
          <w:tcPr>
            <w:tcW w:w="1210" w:type="dxa"/>
            <w:shd w:val="clear" w:color="auto" w:fill="auto"/>
            <w:vAlign w:val="center"/>
          </w:tcPr>
          <w:p w14:paraId="0AF52B93" w14:textId="77777777" w:rsidR="00D55071" w:rsidRPr="00DF5100" w:rsidRDefault="00D55071" w:rsidP="00D55071">
            <w:pPr>
              <w:jc w:val="center"/>
              <w:rPr>
                <w:sz w:val="18"/>
                <w:szCs w:val="18"/>
                <w:lang w:val="en-US"/>
              </w:rPr>
            </w:pPr>
            <w:r w:rsidRPr="00DF5100">
              <w:rPr>
                <w:sz w:val="18"/>
                <w:szCs w:val="18"/>
                <w:lang w:val="en-US"/>
              </w:rPr>
              <w:t>1</w:t>
            </w:r>
          </w:p>
        </w:tc>
        <w:tc>
          <w:tcPr>
            <w:tcW w:w="2801" w:type="dxa"/>
            <w:shd w:val="clear" w:color="auto" w:fill="auto"/>
            <w:vAlign w:val="center"/>
          </w:tcPr>
          <w:p w14:paraId="7A954A37" w14:textId="4EEC41AF" w:rsidR="00D55071" w:rsidRPr="00B63B37" w:rsidRDefault="00D55071" w:rsidP="00D55071">
            <w:pPr>
              <w:jc w:val="center"/>
              <w:rPr>
                <w:sz w:val="18"/>
                <w:szCs w:val="18"/>
                <w:lang w:val="en-US"/>
              </w:rPr>
            </w:pPr>
            <w:r w:rsidRPr="00D55071">
              <w:rPr>
                <w:sz w:val="18"/>
                <w:szCs w:val="18"/>
                <w:lang w:val="en-US"/>
              </w:rPr>
              <w:t>46’800.00 US Dollar</w:t>
            </w:r>
          </w:p>
        </w:tc>
      </w:tr>
      <w:tr w:rsidR="00D55071" w:rsidRPr="00DF5100" w14:paraId="1502CC2A" w14:textId="77777777" w:rsidTr="009A7A15">
        <w:trPr>
          <w:trHeight w:val="20"/>
          <w:jc w:val="center"/>
        </w:trPr>
        <w:tc>
          <w:tcPr>
            <w:tcW w:w="1210" w:type="dxa"/>
            <w:shd w:val="clear" w:color="auto" w:fill="auto"/>
            <w:vAlign w:val="center"/>
          </w:tcPr>
          <w:p w14:paraId="44D5C876" w14:textId="77777777" w:rsidR="00D55071" w:rsidRPr="00DF5100" w:rsidRDefault="00D55071" w:rsidP="00D55071">
            <w:pPr>
              <w:jc w:val="center"/>
              <w:rPr>
                <w:sz w:val="18"/>
                <w:szCs w:val="18"/>
                <w:lang w:val="en-US"/>
              </w:rPr>
            </w:pPr>
            <w:r w:rsidRPr="00DF5100">
              <w:rPr>
                <w:sz w:val="18"/>
                <w:szCs w:val="18"/>
                <w:lang w:val="en-US"/>
              </w:rPr>
              <w:t>2</w:t>
            </w:r>
          </w:p>
        </w:tc>
        <w:tc>
          <w:tcPr>
            <w:tcW w:w="2801" w:type="dxa"/>
            <w:shd w:val="clear" w:color="auto" w:fill="auto"/>
            <w:vAlign w:val="center"/>
          </w:tcPr>
          <w:p w14:paraId="58782A7C" w14:textId="58A0BF96" w:rsidR="00D55071" w:rsidRPr="00B63B37" w:rsidRDefault="00D55071" w:rsidP="00D55071">
            <w:pPr>
              <w:jc w:val="center"/>
              <w:rPr>
                <w:sz w:val="18"/>
                <w:szCs w:val="18"/>
                <w:lang w:val="en-US"/>
              </w:rPr>
            </w:pPr>
            <w:r w:rsidRPr="00D55071">
              <w:rPr>
                <w:sz w:val="18"/>
                <w:szCs w:val="18"/>
                <w:lang w:val="en-US"/>
              </w:rPr>
              <w:t>12’900.00 US Dollar</w:t>
            </w:r>
          </w:p>
        </w:tc>
      </w:tr>
      <w:tr w:rsidR="00D55071" w:rsidRPr="00DF5100" w14:paraId="790711D6" w14:textId="77777777" w:rsidTr="009A7A15">
        <w:trPr>
          <w:trHeight w:val="20"/>
          <w:jc w:val="center"/>
        </w:trPr>
        <w:tc>
          <w:tcPr>
            <w:tcW w:w="1210" w:type="dxa"/>
            <w:shd w:val="clear" w:color="auto" w:fill="auto"/>
            <w:vAlign w:val="center"/>
          </w:tcPr>
          <w:p w14:paraId="275F1710" w14:textId="77777777" w:rsidR="00D55071" w:rsidRPr="00DF5100" w:rsidRDefault="00D55071" w:rsidP="00D55071">
            <w:pPr>
              <w:jc w:val="center"/>
              <w:rPr>
                <w:sz w:val="18"/>
                <w:szCs w:val="18"/>
                <w:lang w:val="en-US"/>
              </w:rPr>
            </w:pPr>
            <w:r w:rsidRPr="00DF5100">
              <w:rPr>
                <w:sz w:val="18"/>
                <w:szCs w:val="18"/>
                <w:lang w:val="en-US"/>
              </w:rPr>
              <w:t>3</w:t>
            </w:r>
          </w:p>
        </w:tc>
        <w:tc>
          <w:tcPr>
            <w:tcW w:w="2801" w:type="dxa"/>
            <w:shd w:val="clear" w:color="auto" w:fill="auto"/>
            <w:vAlign w:val="center"/>
          </w:tcPr>
          <w:p w14:paraId="0604964F" w14:textId="29E2B9F5" w:rsidR="00D55071" w:rsidRPr="00B63B37" w:rsidRDefault="00D55071" w:rsidP="00D55071">
            <w:pPr>
              <w:jc w:val="center"/>
              <w:rPr>
                <w:sz w:val="18"/>
                <w:szCs w:val="18"/>
                <w:lang w:val="en-US"/>
              </w:rPr>
            </w:pPr>
            <w:r w:rsidRPr="00D55071">
              <w:rPr>
                <w:sz w:val="18"/>
                <w:szCs w:val="18"/>
                <w:lang w:val="en-US"/>
              </w:rPr>
              <w:t>16’000.00 US Dollar</w:t>
            </w:r>
          </w:p>
        </w:tc>
      </w:tr>
      <w:tr w:rsidR="00D55071" w:rsidRPr="00DF5100" w14:paraId="3441D682" w14:textId="77777777" w:rsidTr="009A7A15">
        <w:trPr>
          <w:trHeight w:val="20"/>
          <w:jc w:val="center"/>
        </w:trPr>
        <w:tc>
          <w:tcPr>
            <w:tcW w:w="1210" w:type="dxa"/>
            <w:shd w:val="clear" w:color="auto" w:fill="auto"/>
            <w:vAlign w:val="center"/>
          </w:tcPr>
          <w:p w14:paraId="1F444757" w14:textId="77777777" w:rsidR="00D55071" w:rsidRPr="00DF5100" w:rsidRDefault="00D55071" w:rsidP="00D55071">
            <w:pPr>
              <w:jc w:val="center"/>
              <w:rPr>
                <w:sz w:val="18"/>
                <w:szCs w:val="18"/>
                <w:lang w:val="en-US"/>
              </w:rPr>
            </w:pPr>
            <w:r w:rsidRPr="00DF5100">
              <w:rPr>
                <w:sz w:val="18"/>
                <w:szCs w:val="18"/>
                <w:lang w:val="en-US"/>
              </w:rPr>
              <w:t>4</w:t>
            </w:r>
          </w:p>
        </w:tc>
        <w:tc>
          <w:tcPr>
            <w:tcW w:w="2801" w:type="dxa"/>
            <w:shd w:val="clear" w:color="auto" w:fill="auto"/>
            <w:vAlign w:val="center"/>
          </w:tcPr>
          <w:p w14:paraId="19718D2E" w14:textId="7A04A505" w:rsidR="00D55071" w:rsidRPr="00B63B37" w:rsidRDefault="00D55071" w:rsidP="00D55071">
            <w:pPr>
              <w:jc w:val="center"/>
              <w:rPr>
                <w:sz w:val="18"/>
                <w:szCs w:val="18"/>
                <w:lang w:val="en-US"/>
              </w:rPr>
            </w:pPr>
            <w:r w:rsidRPr="00D55071">
              <w:rPr>
                <w:sz w:val="18"/>
                <w:szCs w:val="18"/>
                <w:lang w:val="en-US"/>
              </w:rPr>
              <w:t>13’200.00 US Dollar</w:t>
            </w:r>
          </w:p>
        </w:tc>
      </w:tr>
      <w:tr w:rsidR="00D55071" w:rsidRPr="00DF5100" w14:paraId="2B09289F" w14:textId="77777777" w:rsidTr="009A7A15">
        <w:trPr>
          <w:trHeight w:val="20"/>
          <w:jc w:val="center"/>
        </w:trPr>
        <w:tc>
          <w:tcPr>
            <w:tcW w:w="1210" w:type="dxa"/>
            <w:shd w:val="clear" w:color="auto" w:fill="auto"/>
            <w:vAlign w:val="center"/>
          </w:tcPr>
          <w:p w14:paraId="173AC390" w14:textId="2A52A3EA" w:rsidR="00D55071" w:rsidRPr="004C4EED" w:rsidRDefault="00D55071" w:rsidP="00D55071">
            <w:pPr>
              <w:jc w:val="center"/>
              <w:rPr>
                <w:sz w:val="18"/>
                <w:szCs w:val="18"/>
              </w:rPr>
            </w:pPr>
            <w:r>
              <w:rPr>
                <w:sz w:val="18"/>
                <w:szCs w:val="18"/>
              </w:rPr>
              <w:t>5</w:t>
            </w:r>
          </w:p>
        </w:tc>
        <w:tc>
          <w:tcPr>
            <w:tcW w:w="2801" w:type="dxa"/>
            <w:shd w:val="clear" w:color="auto" w:fill="auto"/>
            <w:vAlign w:val="center"/>
          </w:tcPr>
          <w:p w14:paraId="446D2AA1" w14:textId="1F3BB9CA" w:rsidR="00D55071" w:rsidRPr="00B63B37" w:rsidRDefault="00D55071" w:rsidP="00D55071">
            <w:pPr>
              <w:jc w:val="center"/>
              <w:rPr>
                <w:sz w:val="18"/>
                <w:szCs w:val="18"/>
                <w:lang w:val="en-US"/>
              </w:rPr>
            </w:pPr>
            <w:r w:rsidRPr="00D55071">
              <w:rPr>
                <w:sz w:val="18"/>
                <w:szCs w:val="18"/>
                <w:lang w:val="en-US"/>
              </w:rPr>
              <w:t>4’100.00 US Dollar</w:t>
            </w:r>
          </w:p>
        </w:tc>
      </w:tr>
    </w:tbl>
    <w:p w14:paraId="04139C99" w14:textId="0AF277DB" w:rsidR="00085578" w:rsidRPr="00DF5100" w:rsidRDefault="00085578" w:rsidP="00B10AE8">
      <w:pPr>
        <w:pStyle w:val="a3"/>
        <w:numPr>
          <w:ilvl w:val="0"/>
          <w:numId w:val="1"/>
        </w:numPr>
        <w:tabs>
          <w:tab w:val="left" w:pos="284"/>
        </w:tabs>
        <w:suppressAutoHyphens/>
        <w:spacing w:before="120" w:after="120"/>
        <w:ind w:left="284" w:hanging="284"/>
        <w:jc w:val="both"/>
        <w:rPr>
          <w:b/>
          <w:sz w:val="18"/>
          <w:szCs w:val="18"/>
          <w:lang w:val="en-US"/>
        </w:rPr>
      </w:pPr>
      <w:r w:rsidRPr="00DF5100">
        <w:rPr>
          <w:sz w:val="18"/>
          <w:szCs w:val="18"/>
          <w:lang w:val="en-US"/>
        </w:rPr>
        <w:t>Interested eligible Bidders may obtain further information in the office of the Project Management Unit:</w:t>
      </w:r>
    </w:p>
    <w:p w14:paraId="7F6B5705" w14:textId="77777777" w:rsidR="00085578" w:rsidRPr="00DF5100" w:rsidRDefault="00085578" w:rsidP="00085578">
      <w:pPr>
        <w:tabs>
          <w:tab w:val="right" w:pos="9072"/>
        </w:tabs>
        <w:spacing w:before="120" w:after="120"/>
        <w:contextualSpacing/>
        <w:jc w:val="center"/>
        <w:rPr>
          <w:b/>
          <w:sz w:val="18"/>
          <w:szCs w:val="18"/>
          <w:lang w:val="en-US"/>
        </w:rPr>
      </w:pPr>
      <w:r w:rsidRPr="00DF5100">
        <w:rPr>
          <w:b/>
          <w:sz w:val="18"/>
          <w:szCs w:val="18"/>
          <w:lang w:val="en-US"/>
        </w:rPr>
        <w:t>Project Management Unit (UZB-0077)</w:t>
      </w:r>
    </w:p>
    <w:p w14:paraId="53F658EB" w14:textId="77777777" w:rsidR="00085578" w:rsidRPr="00DF5100" w:rsidRDefault="00085578" w:rsidP="00085578">
      <w:pPr>
        <w:tabs>
          <w:tab w:val="right" w:pos="9072"/>
        </w:tabs>
        <w:spacing w:before="120" w:after="120"/>
        <w:contextualSpacing/>
        <w:jc w:val="center"/>
        <w:rPr>
          <w:b/>
          <w:sz w:val="18"/>
          <w:szCs w:val="18"/>
          <w:lang w:val="en-US"/>
        </w:rPr>
      </w:pPr>
      <w:r w:rsidRPr="00DF5100">
        <w:rPr>
          <w:b/>
          <w:sz w:val="18"/>
          <w:szCs w:val="18"/>
          <w:lang w:val="en-US"/>
        </w:rPr>
        <w:t>196 Chimboy-2 St., Tashkent, 100095, Republic of Uzbekistan</w:t>
      </w:r>
    </w:p>
    <w:p w14:paraId="2CBE2430" w14:textId="4053ADF1" w:rsidR="00085578" w:rsidRPr="005E0B38" w:rsidRDefault="00085578" w:rsidP="00085578">
      <w:pPr>
        <w:tabs>
          <w:tab w:val="right" w:pos="9072"/>
        </w:tabs>
        <w:spacing w:before="120" w:after="120"/>
        <w:contextualSpacing/>
        <w:jc w:val="center"/>
        <w:rPr>
          <w:b/>
          <w:sz w:val="18"/>
          <w:szCs w:val="18"/>
          <w:lang w:val="en-US"/>
        </w:rPr>
      </w:pPr>
      <w:r w:rsidRPr="00DF5100">
        <w:rPr>
          <w:b/>
          <w:sz w:val="18"/>
          <w:szCs w:val="18"/>
          <w:lang w:val="en-US"/>
        </w:rPr>
        <w:t>Tel</w:t>
      </w:r>
      <w:r w:rsidRPr="005E0B38">
        <w:rPr>
          <w:b/>
          <w:sz w:val="18"/>
          <w:szCs w:val="18"/>
          <w:lang w:val="en-US"/>
        </w:rPr>
        <w:t xml:space="preserve">.: </w:t>
      </w:r>
      <w:r w:rsidR="008C3BDE" w:rsidRPr="00687A08">
        <w:rPr>
          <w:b/>
          <w:sz w:val="19"/>
          <w:szCs w:val="19"/>
          <w:lang w:val="en-US"/>
        </w:rPr>
        <w:t>(+99871) 207-16-73, (+</w:t>
      </w:r>
      <w:r w:rsidR="008C3BDE" w:rsidRPr="007354E4">
        <w:rPr>
          <w:b/>
          <w:bCs/>
          <w:sz w:val="18"/>
          <w:szCs w:val="18"/>
          <w:lang w:val="en-US"/>
        </w:rPr>
        <w:t>99871</w:t>
      </w:r>
      <w:r w:rsidR="008C3BDE" w:rsidRPr="00687A08">
        <w:rPr>
          <w:b/>
          <w:sz w:val="19"/>
          <w:szCs w:val="19"/>
          <w:lang w:val="en-US"/>
        </w:rPr>
        <w:t xml:space="preserve">) </w:t>
      </w:r>
      <w:r w:rsidR="008C3BDE">
        <w:rPr>
          <w:b/>
          <w:sz w:val="19"/>
          <w:szCs w:val="19"/>
          <w:lang w:val="uz-Cyrl-UZ"/>
        </w:rPr>
        <w:t>207-17-59</w:t>
      </w:r>
    </w:p>
    <w:p w14:paraId="157EFFBC" w14:textId="77777777" w:rsidR="00085578" w:rsidRPr="00754A44" w:rsidRDefault="00085578" w:rsidP="00085578">
      <w:pPr>
        <w:tabs>
          <w:tab w:val="right" w:pos="9072"/>
        </w:tabs>
        <w:spacing w:before="120" w:after="120"/>
        <w:jc w:val="center"/>
        <w:rPr>
          <w:sz w:val="18"/>
          <w:szCs w:val="18"/>
          <w:lang w:val="en-US"/>
        </w:rPr>
      </w:pPr>
      <w:r w:rsidRPr="00DF5100">
        <w:rPr>
          <w:b/>
          <w:sz w:val="18"/>
          <w:szCs w:val="18"/>
          <w:lang w:val="en-US"/>
        </w:rPr>
        <w:t>e</w:t>
      </w:r>
      <w:r w:rsidRPr="00754A44">
        <w:rPr>
          <w:b/>
          <w:sz w:val="18"/>
          <w:szCs w:val="18"/>
          <w:lang w:val="en-US"/>
        </w:rPr>
        <w:t>-</w:t>
      </w:r>
      <w:r w:rsidRPr="00DF5100">
        <w:rPr>
          <w:b/>
          <w:sz w:val="18"/>
          <w:szCs w:val="18"/>
          <w:lang w:val="en-US"/>
        </w:rPr>
        <w:t>mail</w:t>
      </w:r>
      <w:r w:rsidRPr="00754A44">
        <w:rPr>
          <w:b/>
          <w:sz w:val="18"/>
          <w:szCs w:val="18"/>
          <w:lang w:val="en-US"/>
        </w:rPr>
        <w:t>:</w:t>
      </w:r>
      <w:r w:rsidRPr="00754A44">
        <w:rPr>
          <w:sz w:val="18"/>
          <w:szCs w:val="18"/>
          <w:lang w:val="en-US"/>
        </w:rPr>
        <w:t xml:space="preserve"> </w:t>
      </w:r>
      <w:hyperlink r:id="rId7" w:history="1">
        <w:r w:rsidRPr="00DF5100">
          <w:rPr>
            <w:rStyle w:val="a5"/>
            <w:sz w:val="18"/>
            <w:szCs w:val="18"/>
            <w:lang w:val="en-US"/>
          </w:rPr>
          <w:t>uzb</w:t>
        </w:r>
        <w:r w:rsidRPr="00754A44">
          <w:rPr>
            <w:rStyle w:val="a5"/>
            <w:sz w:val="18"/>
            <w:szCs w:val="18"/>
            <w:lang w:val="en-US"/>
          </w:rPr>
          <w:t>.0077</w:t>
        </w:r>
        <w:r w:rsidRPr="00DF5100">
          <w:rPr>
            <w:rStyle w:val="a5"/>
            <w:sz w:val="18"/>
            <w:szCs w:val="18"/>
            <w:lang w:val="en-US"/>
          </w:rPr>
          <w:t>isdb</w:t>
        </w:r>
        <w:r w:rsidRPr="00754A44">
          <w:rPr>
            <w:rStyle w:val="a5"/>
            <w:sz w:val="18"/>
            <w:szCs w:val="18"/>
            <w:lang w:val="en-US"/>
          </w:rPr>
          <w:t>@</w:t>
        </w:r>
        <w:r w:rsidRPr="00DF5100">
          <w:rPr>
            <w:rStyle w:val="a5"/>
            <w:sz w:val="18"/>
            <w:szCs w:val="18"/>
            <w:lang w:val="en-US"/>
          </w:rPr>
          <w:t>gmail</w:t>
        </w:r>
        <w:r w:rsidRPr="00754A44">
          <w:rPr>
            <w:rStyle w:val="a5"/>
            <w:sz w:val="18"/>
            <w:szCs w:val="18"/>
            <w:lang w:val="en-US"/>
          </w:rPr>
          <w:t>.</w:t>
        </w:r>
        <w:r w:rsidRPr="00DF5100">
          <w:rPr>
            <w:rStyle w:val="a5"/>
            <w:sz w:val="18"/>
            <w:szCs w:val="18"/>
            <w:lang w:val="en-US"/>
          </w:rPr>
          <w:t>com</w:t>
        </w:r>
      </w:hyperlink>
    </w:p>
    <w:p w14:paraId="5EACB0E9" w14:textId="1940C025" w:rsidR="00F4364C" w:rsidRPr="00754A44" w:rsidRDefault="00F4364C">
      <w:pPr>
        <w:spacing w:after="160" w:line="259" w:lineRule="auto"/>
        <w:rPr>
          <w:sz w:val="18"/>
          <w:szCs w:val="18"/>
          <w:lang w:val="en-US"/>
        </w:rPr>
      </w:pPr>
    </w:p>
    <w:sectPr w:rsidR="00F4364C" w:rsidRPr="00754A44" w:rsidSect="00DF5100">
      <w:pgSz w:w="11906" w:h="16838"/>
      <w:pgMar w:top="426"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20989"/>
    <w:multiLevelType w:val="multilevel"/>
    <w:tmpl w:val="F558C2EC"/>
    <w:lvl w:ilvl="0">
      <w:start w:val="1"/>
      <w:numFmt w:val="decimal"/>
      <w:lvlText w:val="%1."/>
      <w:lvlJc w:val="left"/>
      <w:pPr>
        <w:ind w:left="720" w:hanging="360"/>
      </w:pPr>
      <w:rPr>
        <w:b w:val="0"/>
      </w:rPr>
    </w:lvl>
    <w:lvl w:ilvl="1">
      <w:start w:val="1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0A604C"/>
    <w:multiLevelType w:val="multilevel"/>
    <w:tmpl w:val="03400770"/>
    <w:lvl w:ilvl="0">
      <w:start w:val="1"/>
      <w:numFmt w:val="decimal"/>
      <w:suff w:val="nothing"/>
      <w:lvlText w:val="%1."/>
      <w:lvlJc w:val="left"/>
      <w:pPr>
        <w:ind w:left="927" w:hanging="360"/>
      </w:pPr>
      <w:rPr>
        <w:rFonts w:hint="default"/>
        <w:b w:val="0"/>
      </w:rPr>
    </w:lvl>
    <w:lvl w:ilvl="1">
      <w:start w:val="1"/>
      <w:numFmt w:val="decimal"/>
      <w:suff w:val="nothing"/>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DA1906"/>
    <w:multiLevelType w:val="multilevel"/>
    <w:tmpl w:val="03400770"/>
    <w:lvl w:ilvl="0">
      <w:start w:val="1"/>
      <w:numFmt w:val="decimal"/>
      <w:suff w:val="nothing"/>
      <w:lvlText w:val="%1."/>
      <w:lvlJc w:val="left"/>
      <w:pPr>
        <w:ind w:left="927" w:hanging="360"/>
      </w:pPr>
      <w:rPr>
        <w:rFonts w:hint="default"/>
        <w:b w:val="0"/>
      </w:rPr>
    </w:lvl>
    <w:lvl w:ilvl="1">
      <w:start w:val="1"/>
      <w:numFmt w:val="decimal"/>
      <w:suff w:val="nothing"/>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E35F03"/>
    <w:multiLevelType w:val="multilevel"/>
    <w:tmpl w:val="0AF2234A"/>
    <w:lvl w:ilvl="0">
      <w:start w:val="1"/>
      <w:numFmt w:val="decimal"/>
      <w:lvlText w:val="%1."/>
      <w:lvlJc w:val="left"/>
      <w:pPr>
        <w:ind w:left="720" w:hanging="360"/>
      </w:pPr>
      <w:rPr>
        <w:rFonts w:hint="default"/>
        <w:b w:val="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EBA4E68"/>
    <w:multiLevelType w:val="multilevel"/>
    <w:tmpl w:val="03400770"/>
    <w:lvl w:ilvl="0">
      <w:start w:val="1"/>
      <w:numFmt w:val="decimal"/>
      <w:suff w:val="nothing"/>
      <w:lvlText w:val="%1."/>
      <w:lvlJc w:val="left"/>
      <w:pPr>
        <w:ind w:left="927" w:hanging="360"/>
      </w:pPr>
      <w:rPr>
        <w:rFonts w:hint="default"/>
        <w:b w:val="0"/>
      </w:rPr>
    </w:lvl>
    <w:lvl w:ilvl="1">
      <w:start w:val="1"/>
      <w:numFmt w:val="decimal"/>
      <w:suff w:val="nothing"/>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F52235F"/>
    <w:multiLevelType w:val="multilevel"/>
    <w:tmpl w:val="03400770"/>
    <w:lvl w:ilvl="0">
      <w:start w:val="1"/>
      <w:numFmt w:val="decimal"/>
      <w:suff w:val="nothing"/>
      <w:lvlText w:val="%1."/>
      <w:lvlJc w:val="left"/>
      <w:pPr>
        <w:ind w:left="927" w:hanging="360"/>
      </w:pPr>
      <w:rPr>
        <w:rFonts w:hint="default"/>
        <w:b w:val="0"/>
      </w:rPr>
    </w:lvl>
    <w:lvl w:ilvl="1">
      <w:start w:val="1"/>
      <w:numFmt w:val="decimal"/>
      <w:suff w:val="nothing"/>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5AC7903"/>
    <w:multiLevelType w:val="multilevel"/>
    <w:tmpl w:val="03400770"/>
    <w:lvl w:ilvl="0">
      <w:start w:val="1"/>
      <w:numFmt w:val="decimal"/>
      <w:suff w:val="nothing"/>
      <w:lvlText w:val="%1."/>
      <w:lvlJc w:val="left"/>
      <w:pPr>
        <w:ind w:left="360" w:hanging="360"/>
      </w:pPr>
      <w:rPr>
        <w:rFonts w:hint="default"/>
        <w:b w:val="0"/>
      </w:rPr>
    </w:lvl>
    <w:lvl w:ilvl="1">
      <w:start w:val="1"/>
      <w:numFmt w:val="decimal"/>
      <w:suff w:val="nothing"/>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D03170C"/>
    <w:multiLevelType w:val="multilevel"/>
    <w:tmpl w:val="20A0FF62"/>
    <w:lvl w:ilvl="0">
      <w:start w:val="2"/>
      <w:numFmt w:val="decimal"/>
      <w:lvlText w:val="%1."/>
      <w:lvlJc w:val="left"/>
      <w:pPr>
        <w:ind w:left="720" w:hanging="360"/>
      </w:pPr>
      <w:rPr>
        <w:rFonts w:hint="default"/>
        <w:b w:val="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6D88500A"/>
    <w:multiLevelType w:val="multilevel"/>
    <w:tmpl w:val="20A0FF62"/>
    <w:lvl w:ilvl="0">
      <w:start w:val="2"/>
      <w:numFmt w:val="decimal"/>
      <w:lvlText w:val="%1."/>
      <w:lvlJc w:val="left"/>
      <w:pPr>
        <w:ind w:left="720" w:hanging="360"/>
      </w:pPr>
      <w:rPr>
        <w:rFonts w:hint="default"/>
        <w:b w:val="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627859926">
    <w:abstractNumId w:val="0"/>
  </w:num>
  <w:num w:numId="2" w16cid:durableId="1827741691">
    <w:abstractNumId w:val="5"/>
  </w:num>
  <w:num w:numId="3" w16cid:durableId="1738867194">
    <w:abstractNumId w:val="6"/>
  </w:num>
  <w:num w:numId="4" w16cid:durableId="651562692">
    <w:abstractNumId w:val="4"/>
  </w:num>
  <w:num w:numId="5" w16cid:durableId="1233659307">
    <w:abstractNumId w:val="1"/>
  </w:num>
  <w:num w:numId="6" w16cid:durableId="960379215">
    <w:abstractNumId w:val="8"/>
  </w:num>
  <w:num w:numId="7" w16cid:durableId="2083332049">
    <w:abstractNumId w:val="2"/>
  </w:num>
  <w:num w:numId="8" w16cid:durableId="831260148">
    <w:abstractNumId w:val="7"/>
  </w:num>
  <w:num w:numId="9" w16cid:durableId="7895948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s-ES_tradnl" w:vendorID="64" w:dllVersion="4096"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F61"/>
    <w:rsid w:val="00037942"/>
    <w:rsid w:val="00085578"/>
    <w:rsid w:val="000A4E8E"/>
    <w:rsid w:val="000B01BD"/>
    <w:rsid w:val="000B154B"/>
    <w:rsid w:val="000B5B7D"/>
    <w:rsid w:val="000E40D3"/>
    <w:rsid w:val="00104A5D"/>
    <w:rsid w:val="001B106E"/>
    <w:rsid w:val="00203366"/>
    <w:rsid w:val="0021590E"/>
    <w:rsid w:val="002179E7"/>
    <w:rsid w:val="002905A8"/>
    <w:rsid w:val="002A29F7"/>
    <w:rsid w:val="002C660F"/>
    <w:rsid w:val="002D2117"/>
    <w:rsid w:val="00326FB7"/>
    <w:rsid w:val="00436828"/>
    <w:rsid w:val="00443F27"/>
    <w:rsid w:val="004917AC"/>
    <w:rsid w:val="004C4EED"/>
    <w:rsid w:val="004D2237"/>
    <w:rsid w:val="004E5389"/>
    <w:rsid w:val="00561710"/>
    <w:rsid w:val="00583C6A"/>
    <w:rsid w:val="00586645"/>
    <w:rsid w:val="005E0B38"/>
    <w:rsid w:val="00615449"/>
    <w:rsid w:val="00691EFF"/>
    <w:rsid w:val="006C0B77"/>
    <w:rsid w:val="00701C7B"/>
    <w:rsid w:val="00754A44"/>
    <w:rsid w:val="007A14B3"/>
    <w:rsid w:val="008242FF"/>
    <w:rsid w:val="00870751"/>
    <w:rsid w:val="008C3BDE"/>
    <w:rsid w:val="00922C48"/>
    <w:rsid w:val="009E5108"/>
    <w:rsid w:val="00A046CD"/>
    <w:rsid w:val="00A46683"/>
    <w:rsid w:val="00A775B4"/>
    <w:rsid w:val="00AD6890"/>
    <w:rsid w:val="00B06B13"/>
    <w:rsid w:val="00B10AE8"/>
    <w:rsid w:val="00B3094E"/>
    <w:rsid w:val="00B63B37"/>
    <w:rsid w:val="00B915B7"/>
    <w:rsid w:val="00BB5E00"/>
    <w:rsid w:val="00C45239"/>
    <w:rsid w:val="00C9499A"/>
    <w:rsid w:val="00CA03A3"/>
    <w:rsid w:val="00CB07BF"/>
    <w:rsid w:val="00D55071"/>
    <w:rsid w:val="00D7390D"/>
    <w:rsid w:val="00DC3297"/>
    <w:rsid w:val="00DE2034"/>
    <w:rsid w:val="00DF5100"/>
    <w:rsid w:val="00E20A5A"/>
    <w:rsid w:val="00E66E19"/>
    <w:rsid w:val="00EA59DF"/>
    <w:rsid w:val="00EC1DB7"/>
    <w:rsid w:val="00EC5070"/>
    <w:rsid w:val="00EE4070"/>
    <w:rsid w:val="00EF272D"/>
    <w:rsid w:val="00F12C76"/>
    <w:rsid w:val="00F25EE6"/>
    <w:rsid w:val="00F4364C"/>
    <w:rsid w:val="00F7747D"/>
    <w:rsid w:val="00FC1F61"/>
    <w:rsid w:val="00FC7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F56D7"/>
  <w15:docId w15:val="{582159C0-0B98-42C1-A12C-328AFC1A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F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itation List,본문(내용),List Paragraph (numbered (a))"/>
    <w:basedOn w:val="a"/>
    <w:link w:val="a4"/>
    <w:uiPriority w:val="34"/>
    <w:qFormat/>
    <w:rsid w:val="00FC1F61"/>
    <w:pPr>
      <w:ind w:left="708"/>
    </w:pPr>
  </w:style>
  <w:style w:type="character" w:styleId="a5">
    <w:name w:val="Hyperlink"/>
    <w:basedOn w:val="a0"/>
    <w:uiPriority w:val="99"/>
    <w:rsid w:val="00FC1F61"/>
    <w:rPr>
      <w:color w:val="0000FF"/>
      <w:u w:val="single"/>
    </w:rPr>
  </w:style>
  <w:style w:type="paragraph" w:customStyle="1" w:styleId="Heading1a">
    <w:name w:val="Heading 1a"/>
    <w:rsid w:val="00FC1F61"/>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character" w:customStyle="1" w:styleId="a4">
    <w:name w:val="Абзац списка Знак"/>
    <w:aliases w:val="Citation List Знак,본문(내용) Знак,List Paragraph (numbered (a)) Знак"/>
    <w:basedOn w:val="a0"/>
    <w:link w:val="a3"/>
    <w:uiPriority w:val="34"/>
    <w:rsid w:val="00FC1F61"/>
    <w:rPr>
      <w:rFonts w:ascii="Times New Roman" w:eastAsia="Times New Roman" w:hAnsi="Times New Roman" w:cs="Times New Roman"/>
      <w:sz w:val="24"/>
      <w:szCs w:val="24"/>
      <w:lang w:eastAsia="ru-RU"/>
    </w:rPr>
  </w:style>
  <w:style w:type="table" w:styleId="a6">
    <w:name w:val="Table Grid"/>
    <w:basedOn w:val="a1"/>
    <w:uiPriority w:val="59"/>
    <w:rsid w:val="002D21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basedOn w:val="a0"/>
    <w:uiPriority w:val="99"/>
    <w:semiHidden/>
    <w:unhideWhenUsed/>
    <w:rsid w:val="000B154B"/>
    <w:rPr>
      <w:color w:val="605E5C"/>
      <w:shd w:val="clear" w:color="auto" w:fill="E1DFDD"/>
    </w:rPr>
  </w:style>
  <w:style w:type="paragraph" w:styleId="a7">
    <w:name w:val="Balloon Text"/>
    <w:basedOn w:val="a"/>
    <w:link w:val="a8"/>
    <w:uiPriority w:val="99"/>
    <w:semiHidden/>
    <w:unhideWhenUsed/>
    <w:rsid w:val="00CB07BF"/>
    <w:rPr>
      <w:rFonts w:ascii="Tahoma" w:hAnsi="Tahoma" w:cs="Tahoma"/>
      <w:sz w:val="16"/>
      <w:szCs w:val="16"/>
    </w:rPr>
  </w:style>
  <w:style w:type="character" w:customStyle="1" w:styleId="a8">
    <w:name w:val="Текст выноски Знак"/>
    <w:basedOn w:val="a0"/>
    <w:link w:val="a7"/>
    <w:uiPriority w:val="99"/>
    <w:semiHidden/>
    <w:rsid w:val="00CB07B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751220">
      <w:bodyDiv w:val="1"/>
      <w:marLeft w:val="0"/>
      <w:marRight w:val="0"/>
      <w:marTop w:val="0"/>
      <w:marBottom w:val="0"/>
      <w:divBdr>
        <w:top w:val="none" w:sz="0" w:space="0" w:color="auto"/>
        <w:left w:val="none" w:sz="0" w:space="0" w:color="auto"/>
        <w:bottom w:val="none" w:sz="0" w:space="0" w:color="auto"/>
        <w:right w:val="none" w:sz="0" w:space="0" w:color="auto"/>
      </w:divBdr>
    </w:div>
    <w:div w:id="120915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zb.0077isd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zb.0077isdb@gmail.com" TargetMode="External"/><Relationship Id="rId5" Type="http://schemas.openxmlformats.org/officeDocument/2006/relationships/hyperlink" Target="mailto:uzb.0077isdb@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603</Words>
  <Characters>3438</Characters>
  <Application>Microsoft Office Word</Application>
  <DocSecurity>0</DocSecurity>
  <Lines>28</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3</cp:revision>
  <dcterms:created xsi:type="dcterms:W3CDTF">2022-09-05T06:37:00Z</dcterms:created>
  <dcterms:modified xsi:type="dcterms:W3CDTF">2022-09-05T06:37:00Z</dcterms:modified>
</cp:coreProperties>
</file>