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366" w:rsidRPr="00195366" w:rsidRDefault="00195366" w:rsidP="00195366"/>
    <w:tbl>
      <w:tblPr>
        <w:tblStyle w:val="Grilledutableau"/>
        <w:tblW w:w="93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68"/>
        <w:gridCol w:w="4671"/>
      </w:tblGrid>
      <w:tr w:rsidR="00195366" w:rsidRPr="00ED1377" w:rsidTr="008A132A">
        <w:trPr>
          <w:trHeight w:val="2353"/>
        </w:trPr>
        <w:tc>
          <w:tcPr>
            <w:tcW w:w="4668" w:type="dxa"/>
          </w:tcPr>
          <w:p w:rsidR="00195366" w:rsidRPr="00ED1377" w:rsidRDefault="00195366" w:rsidP="008A132A">
            <w:pPr>
              <w:tabs>
                <w:tab w:val="right" w:leader="dot" w:pos="9000"/>
              </w:tabs>
              <w:rPr>
                <w:b/>
                <w:sz w:val="36"/>
              </w:rPr>
            </w:pPr>
            <w:r>
              <w:rPr>
                <w:b/>
                <w:noProof/>
                <w:sz w:val="36"/>
              </w:rPr>
              <w:drawing>
                <wp:inline distT="0" distB="0" distL="0" distR="0">
                  <wp:extent cx="2206359" cy="1268669"/>
                  <wp:effectExtent l="0" t="0" r="3810" b="1905"/>
                  <wp:docPr id="6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slamic_Development_Bank_logo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631" cy="1332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1" w:type="dxa"/>
          </w:tcPr>
          <w:p w:rsidR="00195366" w:rsidRPr="00ED1377" w:rsidRDefault="00195366" w:rsidP="008A132A">
            <w:pPr>
              <w:tabs>
                <w:tab w:val="right" w:leader="dot" w:pos="9000"/>
              </w:tabs>
              <w:jc w:val="right"/>
              <w:rPr>
                <w:b/>
                <w:sz w:val="36"/>
              </w:rPr>
            </w:pPr>
            <w:r w:rsidRPr="00ED1377">
              <w:rPr>
                <w:b/>
                <w:noProof/>
                <w:szCs w:val="22"/>
              </w:rPr>
              <w:drawing>
                <wp:inline distT="0" distB="0" distL="0" distR="0">
                  <wp:extent cx="1999615" cy="1244281"/>
                  <wp:effectExtent l="0" t="0" r="6985" b="635"/>
                  <wp:docPr id="7" name="Image 2" descr="C:\Users\hp\AppData\Local\Temp\LOGO CNSS NEW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 descr="C:\Users\hp\AppData\Local\Temp\LOGO CNSS NEW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597" cy="1259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5366" w:rsidRDefault="00195366" w:rsidP="00AD3693">
      <w:pPr>
        <w:jc w:val="left"/>
        <w:rPr>
          <w:b/>
        </w:rPr>
      </w:pPr>
    </w:p>
    <w:p w:rsidR="00AD3693" w:rsidRPr="00195366" w:rsidRDefault="00195366" w:rsidP="00195366">
      <w:pPr>
        <w:jc w:val="left"/>
        <w:rPr>
          <w:b/>
        </w:rPr>
      </w:pPr>
      <w:r>
        <w:rPr>
          <w:b/>
        </w:rPr>
        <w:t xml:space="preserve">                              </w:t>
      </w:r>
    </w:p>
    <w:p w:rsidR="00AD3693" w:rsidRDefault="00AD3693" w:rsidP="00AD3693">
      <w:pPr>
        <w:pStyle w:val="Header1"/>
        <w:widowControl/>
        <w:rPr>
          <w:sz w:val="24"/>
          <w:lang w:val="fr-FR"/>
        </w:rPr>
      </w:pPr>
      <w:r>
        <w:rPr>
          <w:sz w:val="24"/>
          <w:lang w:val="fr-FR"/>
        </w:rPr>
        <w:t xml:space="preserve">Avis spécifique de passation de marché </w:t>
      </w:r>
    </w:p>
    <w:p w:rsidR="00AD3693" w:rsidRDefault="00AD3693" w:rsidP="00AD3693">
      <w:pPr>
        <w:jc w:val="center"/>
        <w:rPr>
          <w:b/>
        </w:rPr>
      </w:pPr>
      <w:r>
        <w:rPr>
          <w:b/>
        </w:rPr>
        <w:t>Avis de Pré-qualification</w:t>
      </w:r>
    </w:p>
    <w:p w:rsidR="00AD3693" w:rsidRDefault="00AD3693" w:rsidP="00AD3693"/>
    <w:p w:rsidR="00AD3693" w:rsidRDefault="00AD3693" w:rsidP="00AD3693"/>
    <w:p w:rsidR="00AD3693" w:rsidRDefault="00DC5150" w:rsidP="00AD3693">
      <w:pPr>
        <w:spacing w:after="200"/>
      </w:pPr>
      <w:r>
        <w:rPr>
          <w:i/>
        </w:rPr>
        <w:t>N</w:t>
      </w:r>
      <w:r w:rsidR="00AD3693" w:rsidRPr="00F87AD6">
        <w:rPr>
          <w:b/>
          <w:i/>
        </w:rPr>
        <w:t>om du pays</w:t>
      </w:r>
      <w:r>
        <w:rPr>
          <w:b/>
          <w:i/>
        </w:rPr>
        <w:t> </w:t>
      </w:r>
      <w:r>
        <w:rPr>
          <w:i/>
        </w:rPr>
        <w:t xml:space="preserve">: </w:t>
      </w:r>
      <w:r w:rsidR="00EB48A6">
        <w:rPr>
          <w:i/>
        </w:rPr>
        <w:t>Djibouti</w:t>
      </w:r>
    </w:p>
    <w:p w:rsidR="00DC5150" w:rsidRDefault="00DC5150" w:rsidP="00AD3693">
      <w:pPr>
        <w:spacing w:after="200"/>
        <w:rPr>
          <w:i/>
        </w:rPr>
      </w:pPr>
      <w:r>
        <w:rPr>
          <w:i/>
        </w:rPr>
        <w:t>N</w:t>
      </w:r>
      <w:r w:rsidR="00AD3693" w:rsidRPr="00F87AD6">
        <w:rPr>
          <w:b/>
          <w:i/>
        </w:rPr>
        <w:t>om du projet</w:t>
      </w:r>
      <w:r>
        <w:rPr>
          <w:b/>
          <w:i/>
        </w:rPr>
        <w:t> </w:t>
      </w:r>
      <w:r>
        <w:rPr>
          <w:i/>
        </w:rPr>
        <w:t>:</w:t>
      </w:r>
      <w:r w:rsidR="00EB48A6" w:rsidRPr="00EB48A6">
        <w:rPr>
          <w:i/>
          <w:spacing w:val="-2"/>
        </w:rPr>
        <w:t xml:space="preserve"> </w:t>
      </w:r>
      <w:r w:rsidR="00EB48A6" w:rsidRPr="004F351F">
        <w:rPr>
          <w:i/>
          <w:spacing w:val="-2"/>
        </w:rPr>
        <w:t>Projet d’Etablissement de l’hôpital général de la CNSS</w:t>
      </w:r>
    </w:p>
    <w:p w:rsidR="00AD3693" w:rsidRPr="005034D8" w:rsidRDefault="00AD3693" w:rsidP="00AD3693">
      <w:pPr>
        <w:spacing w:after="200"/>
        <w:rPr>
          <w:b/>
        </w:rPr>
      </w:pPr>
      <w:r w:rsidRPr="005034D8">
        <w:rPr>
          <w:b/>
        </w:rPr>
        <w:t>No. du financement</w:t>
      </w:r>
      <w:r w:rsidR="00DC5150" w:rsidRPr="005034D8">
        <w:rPr>
          <w:b/>
          <w:i/>
        </w:rPr>
        <w:t> :</w:t>
      </w:r>
      <w:r w:rsidR="00DC5150" w:rsidRPr="005034D8">
        <w:rPr>
          <w:b/>
          <w:sz w:val="36"/>
          <w:szCs w:val="36"/>
        </w:rPr>
        <w:t xml:space="preserve"> </w:t>
      </w:r>
      <w:r w:rsidR="00195366" w:rsidRPr="00195366">
        <w:rPr>
          <w:i/>
        </w:rPr>
        <w:t>2DJ-1001</w:t>
      </w:r>
    </w:p>
    <w:p w:rsidR="005034D8" w:rsidRPr="00195366" w:rsidRDefault="00AD3693" w:rsidP="005034D8">
      <w:pPr>
        <w:spacing w:after="200"/>
        <w:rPr>
          <w:i/>
        </w:rPr>
      </w:pPr>
      <w:r w:rsidRPr="00DE7747">
        <w:rPr>
          <w:b/>
          <w:bCs/>
          <w:iCs/>
          <w:szCs w:val="24"/>
        </w:rPr>
        <w:t>Intitulé du Marché :</w:t>
      </w:r>
      <w:r w:rsidR="00DC5150">
        <w:rPr>
          <w:bCs/>
          <w:i/>
          <w:iCs/>
          <w:szCs w:val="24"/>
        </w:rPr>
        <w:t xml:space="preserve"> </w:t>
      </w:r>
      <w:r w:rsidR="005034D8" w:rsidRPr="00195366">
        <w:rPr>
          <w:i/>
        </w:rPr>
        <w:t>Acquisition des équipements généraux et médico-techniques de l’hôpital général de la CNSS.</w:t>
      </w:r>
    </w:p>
    <w:p w:rsidR="00AD3693" w:rsidRPr="00D006BE" w:rsidRDefault="00AD3693" w:rsidP="00AD3693">
      <w:pPr>
        <w:spacing w:before="120" w:after="120"/>
        <w:rPr>
          <w:bCs/>
          <w:i/>
          <w:iCs/>
          <w:szCs w:val="24"/>
        </w:rPr>
      </w:pPr>
    </w:p>
    <w:p w:rsidR="005034D8" w:rsidRPr="005034D8" w:rsidRDefault="005034D8" w:rsidP="00AD3693">
      <w:pPr>
        <w:spacing w:before="120" w:after="120"/>
        <w:rPr>
          <w:b/>
          <w:i/>
        </w:rPr>
      </w:pPr>
      <w:r w:rsidRPr="005034D8">
        <w:rPr>
          <w:b/>
          <w:bCs/>
          <w:iCs/>
          <w:szCs w:val="24"/>
        </w:rPr>
        <w:t xml:space="preserve">AOI </w:t>
      </w:r>
      <w:r w:rsidR="00AD3693" w:rsidRPr="005034D8">
        <w:rPr>
          <w:b/>
          <w:bCs/>
          <w:iCs/>
          <w:szCs w:val="24"/>
        </w:rPr>
        <w:t>No. :</w:t>
      </w:r>
      <w:r>
        <w:rPr>
          <w:b/>
          <w:bCs/>
          <w:iCs/>
          <w:szCs w:val="24"/>
        </w:rPr>
        <w:t xml:space="preserve"> </w:t>
      </w:r>
      <w:r w:rsidRPr="005034D8">
        <w:rPr>
          <w:b/>
          <w:i/>
        </w:rPr>
        <w:t>01/PRE/BID/FR/CNSS/2022</w:t>
      </w:r>
    </w:p>
    <w:p w:rsidR="009E1E53" w:rsidRPr="005034D8" w:rsidRDefault="00AD3693" w:rsidP="009E1E53">
      <w:pPr>
        <w:spacing w:after="200"/>
        <w:rPr>
          <w:b/>
        </w:rPr>
      </w:pPr>
      <w:r>
        <w:rPr>
          <w:spacing w:val="-2"/>
        </w:rPr>
        <w:t>1. Le</w:t>
      </w:r>
      <w:r w:rsidR="005034D8">
        <w:rPr>
          <w:spacing w:val="-2"/>
        </w:rPr>
        <w:t xml:space="preserve"> gouvernement de Djibouti </w:t>
      </w:r>
      <w:r>
        <w:rPr>
          <w:i/>
          <w:spacing w:val="-2"/>
        </w:rPr>
        <w:t>a reçu</w:t>
      </w:r>
      <w:r w:rsidR="005034D8">
        <w:rPr>
          <w:spacing w:val="-2"/>
        </w:rPr>
        <w:t xml:space="preserve"> </w:t>
      </w:r>
      <w:r>
        <w:rPr>
          <w:spacing w:val="-2"/>
        </w:rPr>
        <w:t>un</w:t>
      </w:r>
      <w:r w:rsidR="00E75838">
        <w:rPr>
          <w:spacing w:val="-2"/>
        </w:rPr>
        <w:t xml:space="preserve"> </w:t>
      </w:r>
      <w:r>
        <w:rPr>
          <w:spacing w:val="-2"/>
        </w:rPr>
        <w:t xml:space="preserve"> </w:t>
      </w:r>
      <w:r>
        <w:rPr>
          <w:i/>
          <w:spacing w:val="-2"/>
        </w:rPr>
        <w:t>financement</w:t>
      </w:r>
      <w:r>
        <w:rPr>
          <w:spacing w:val="-2"/>
        </w:rPr>
        <w:t xml:space="preserve"> auprès de la</w:t>
      </w:r>
      <w:r w:rsidR="005034D8">
        <w:rPr>
          <w:spacing w:val="-2"/>
        </w:rPr>
        <w:t xml:space="preserve"> </w:t>
      </w:r>
      <w:r w:rsidRPr="002F043C">
        <w:rPr>
          <w:i/>
          <w:spacing w:val="-2"/>
        </w:rPr>
        <w:t>Banque Islamique de Développement (BI</w:t>
      </w:r>
      <w:r>
        <w:rPr>
          <w:i/>
          <w:spacing w:val="-2"/>
        </w:rPr>
        <w:t>s</w:t>
      </w:r>
      <w:r w:rsidRPr="002F043C">
        <w:rPr>
          <w:i/>
          <w:spacing w:val="-2"/>
        </w:rPr>
        <w:t>D</w:t>
      </w:r>
      <w:r>
        <w:rPr>
          <w:i/>
          <w:spacing w:val="-2"/>
        </w:rPr>
        <w:t>)</w:t>
      </w:r>
      <w:r>
        <w:rPr>
          <w:spacing w:val="-2"/>
        </w:rPr>
        <w:t xml:space="preserve"> pour financer le coût du</w:t>
      </w:r>
      <w:r w:rsidR="005034D8">
        <w:rPr>
          <w:spacing w:val="-2"/>
        </w:rPr>
        <w:t xml:space="preserve"> </w:t>
      </w:r>
      <w:r w:rsidR="005034D8" w:rsidRPr="004F351F">
        <w:rPr>
          <w:i/>
          <w:spacing w:val="-2"/>
        </w:rPr>
        <w:t>Projet d’Etablissement de l’hôpital général de la CNSS</w:t>
      </w:r>
      <w:r w:rsidRPr="004F351F">
        <w:rPr>
          <w:i/>
          <w:spacing w:val="-2"/>
        </w:rPr>
        <w:t>,</w:t>
      </w:r>
      <w:r>
        <w:rPr>
          <w:spacing w:val="-2"/>
        </w:rPr>
        <w:t xml:space="preserve"> et entend affecter une partie du produit de ce </w:t>
      </w:r>
      <w:r>
        <w:rPr>
          <w:i/>
          <w:spacing w:val="-2"/>
        </w:rPr>
        <w:t>financement</w:t>
      </w:r>
      <w:r w:rsidR="004F351F">
        <w:rPr>
          <w:i/>
          <w:spacing w:val="-2"/>
        </w:rPr>
        <w:t xml:space="preserve"> </w:t>
      </w:r>
      <w:r>
        <w:rPr>
          <w:spacing w:val="-2"/>
        </w:rPr>
        <w:t>aux paiements relatifs au marché pour</w:t>
      </w:r>
      <w:r w:rsidR="004F351F">
        <w:rPr>
          <w:i/>
          <w:spacing w:val="-2"/>
        </w:rPr>
        <w:t xml:space="preserve"> l’acquisition </w:t>
      </w:r>
      <w:r w:rsidR="004F351F" w:rsidRPr="004F351F">
        <w:rPr>
          <w:i/>
          <w:spacing w:val="-2"/>
        </w:rPr>
        <w:t>des équipements généraux et médico-techniques de l’hôpital général</w:t>
      </w:r>
      <w:r w:rsidR="009E1E53">
        <w:rPr>
          <w:i/>
          <w:spacing w:val="-2"/>
        </w:rPr>
        <w:t xml:space="preserve"> de la CN</w:t>
      </w:r>
      <w:r w:rsidR="00E75838">
        <w:rPr>
          <w:i/>
          <w:spacing w:val="-2"/>
        </w:rPr>
        <w:t>S</w:t>
      </w:r>
      <w:r w:rsidR="009E1E53">
        <w:rPr>
          <w:i/>
          <w:spacing w:val="-2"/>
        </w:rPr>
        <w:t>S</w:t>
      </w:r>
      <w:r w:rsidR="00E75838">
        <w:rPr>
          <w:i/>
          <w:spacing w:val="-2"/>
        </w:rPr>
        <w:t xml:space="preserve">. </w:t>
      </w:r>
      <w:r w:rsidR="00E75838">
        <w:rPr>
          <w:iCs/>
          <w:spacing w:val="-2"/>
        </w:rPr>
        <w:t xml:space="preserve">La </w:t>
      </w:r>
      <w:r w:rsidR="00AA2938" w:rsidRPr="00AA2938">
        <w:rPr>
          <w:i/>
          <w:spacing w:val="-2"/>
        </w:rPr>
        <w:t>Caisse Nationale de Sécurité Sociale</w:t>
      </w:r>
      <w:r>
        <w:rPr>
          <w:spacing w:val="-2"/>
        </w:rPr>
        <w:t xml:space="preserve"> en</w:t>
      </w:r>
      <w:r w:rsidR="00AA2938">
        <w:rPr>
          <w:spacing w:val="-2"/>
        </w:rPr>
        <w:t>tend pré-qualifier des fourniss</w:t>
      </w:r>
      <w:r>
        <w:rPr>
          <w:spacing w:val="-2"/>
        </w:rPr>
        <w:t>eurs pour</w:t>
      </w:r>
      <w:r w:rsidR="009E1E53">
        <w:rPr>
          <w:i/>
          <w:spacing w:val="-2"/>
        </w:rPr>
        <w:t xml:space="preserve"> </w:t>
      </w:r>
      <w:r w:rsidR="009E1E53" w:rsidRPr="009E1E53">
        <w:rPr>
          <w:b/>
          <w:i/>
        </w:rPr>
        <w:t xml:space="preserve"> </w:t>
      </w:r>
      <w:r w:rsidR="009E1E53">
        <w:rPr>
          <w:b/>
          <w:i/>
        </w:rPr>
        <w:t>l’a</w:t>
      </w:r>
      <w:r w:rsidR="009E1E53" w:rsidRPr="005034D8">
        <w:rPr>
          <w:b/>
          <w:i/>
        </w:rPr>
        <w:t>cquisition des équipements généraux et médico-techniques de l’hôpital général de la CNSS.</w:t>
      </w:r>
    </w:p>
    <w:p w:rsidR="00AD3693" w:rsidRPr="00AA2938" w:rsidRDefault="00AD3693" w:rsidP="00AD3693">
      <w:pPr>
        <w:spacing w:after="200"/>
        <w:rPr>
          <w:i/>
          <w:spacing w:val="-2"/>
        </w:rPr>
      </w:pPr>
      <w:r>
        <w:rPr>
          <w:spacing w:val="-2"/>
        </w:rPr>
        <w:t>Les invitations à soumiss</w:t>
      </w:r>
      <w:r w:rsidR="009E1E53">
        <w:rPr>
          <w:spacing w:val="-2"/>
        </w:rPr>
        <w:t xml:space="preserve">ionner devraient être lancées le </w:t>
      </w:r>
      <w:r w:rsidR="00EF7CBA">
        <w:rPr>
          <w:b/>
          <w:spacing w:val="-2"/>
          <w:u w:val="single"/>
        </w:rPr>
        <w:t>Jeudi 17 Novembre 2022</w:t>
      </w:r>
      <w:r w:rsidR="009E1E53" w:rsidRPr="009E1E53">
        <w:rPr>
          <w:b/>
          <w:spacing w:val="-2"/>
          <w:u w:val="single"/>
        </w:rPr>
        <w:t>.</w:t>
      </w:r>
    </w:p>
    <w:p w:rsidR="00AD3693" w:rsidRDefault="00AD3693" w:rsidP="00AD3693">
      <w:pPr>
        <w:pStyle w:val="BankNormal"/>
        <w:jc w:val="both"/>
        <w:rPr>
          <w:spacing w:val="-2"/>
          <w:lang w:val="fr-FR"/>
        </w:rPr>
      </w:pPr>
      <w:r>
        <w:rPr>
          <w:spacing w:val="-2"/>
          <w:lang w:val="fr-FR"/>
        </w:rPr>
        <w:t xml:space="preserve">2. La pré-qualification se déroulera conformément aux procédures de pré-qualification spécifiées dans les </w:t>
      </w:r>
      <w:r w:rsidRPr="002F043C">
        <w:rPr>
          <w:lang w:val="fr-FR"/>
        </w:rPr>
        <w:t xml:space="preserve">Directives pour </w:t>
      </w:r>
      <w:r w:rsidRPr="00701237">
        <w:rPr>
          <w:szCs w:val="24"/>
          <w:lang w:val="fr-FR"/>
        </w:rPr>
        <w:t>l’acquisition de Biens, Travaux et Services connexes dans le cadre de Projets financés par la BIsD, Septembre 2018, (les « Directives »),</w:t>
      </w:r>
      <w:r w:rsidRPr="002F043C">
        <w:rPr>
          <w:spacing w:val="-2"/>
          <w:lang w:val="fr-FR"/>
        </w:rPr>
        <w:t>;</w:t>
      </w:r>
      <w:r>
        <w:rPr>
          <w:spacing w:val="-2"/>
          <w:lang w:val="fr-FR"/>
        </w:rPr>
        <w:t xml:space="preserve"> elle est ouverte à tous les candidats des pays qui répondent aux critères de provenance, tels que définis dans les D</w:t>
      </w:r>
      <w:r w:rsidRPr="002F043C">
        <w:rPr>
          <w:spacing w:val="-2"/>
          <w:lang w:val="fr-FR"/>
        </w:rPr>
        <w:t>irectives.</w:t>
      </w:r>
    </w:p>
    <w:p w:rsidR="00AD3693" w:rsidRDefault="00AD3693" w:rsidP="00AD3693">
      <w:pPr>
        <w:spacing w:after="200"/>
        <w:rPr>
          <w:spacing w:val="-2"/>
        </w:rPr>
      </w:pPr>
      <w:r>
        <w:rPr>
          <w:spacing w:val="-2"/>
        </w:rPr>
        <w:t xml:space="preserve">3. Les candidats intéressés admissibles peuvent obtenir de plus amples renseignements et consulter  le document de pré-qualification auprès de </w:t>
      </w:r>
      <w:r w:rsidR="00E75838" w:rsidRPr="00E75838">
        <w:rPr>
          <w:b/>
          <w:i/>
          <w:spacing w:val="-2"/>
        </w:rPr>
        <w:t xml:space="preserve">la Caisse Nationale de Sécurité Sociale </w:t>
      </w:r>
      <w:r w:rsidR="00195366">
        <w:rPr>
          <w:b/>
          <w:i/>
          <w:spacing w:val="-2"/>
        </w:rPr>
        <w:t xml:space="preserve">- </w:t>
      </w:r>
      <w:r w:rsidR="00E75838" w:rsidRPr="00E75838">
        <w:rPr>
          <w:b/>
          <w:i/>
          <w:spacing w:val="-2"/>
        </w:rPr>
        <w:t>Unité de gestion de projets</w:t>
      </w:r>
      <w:r w:rsidR="00E75838">
        <w:rPr>
          <w:i/>
          <w:spacing w:val="-2"/>
        </w:rPr>
        <w:t xml:space="preserve"> </w:t>
      </w:r>
      <w:r>
        <w:rPr>
          <w:spacing w:val="-2"/>
        </w:rPr>
        <w:t xml:space="preserve">dont l’adresse figure ci-après) de </w:t>
      </w:r>
      <w:r w:rsidR="00E75838" w:rsidRPr="00E75838">
        <w:rPr>
          <w:b/>
          <w:i/>
          <w:spacing w:val="-2"/>
        </w:rPr>
        <w:t>0800 à 1300 heures et de 1400 à 1700</w:t>
      </w:r>
      <w:r w:rsidR="00195366">
        <w:rPr>
          <w:b/>
          <w:i/>
          <w:spacing w:val="-2"/>
        </w:rPr>
        <w:t xml:space="preserve"> heures</w:t>
      </w:r>
      <w:r w:rsidRPr="00E75838">
        <w:rPr>
          <w:b/>
          <w:spacing w:val="-2"/>
        </w:rPr>
        <w:t>.</w:t>
      </w:r>
    </w:p>
    <w:p w:rsidR="00AD3693" w:rsidRPr="00E75838" w:rsidRDefault="00AD3693" w:rsidP="00AD3693">
      <w:pPr>
        <w:spacing w:after="200"/>
        <w:rPr>
          <w:spacing w:val="-2"/>
        </w:rPr>
      </w:pPr>
      <w:r>
        <w:rPr>
          <w:spacing w:val="-2"/>
        </w:rPr>
        <w:t xml:space="preserve">4. Les candidats intéressés peuvent acheter un jeu complet du document de pré-qualification en </w:t>
      </w:r>
      <w:r w:rsidR="00E75838" w:rsidRPr="00195366">
        <w:rPr>
          <w:b/>
          <w:i/>
          <w:spacing w:val="-2"/>
        </w:rPr>
        <w:t>Français</w:t>
      </w:r>
      <w:r w:rsidR="00E75838" w:rsidRPr="00195366">
        <w:rPr>
          <w:b/>
          <w:spacing w:val="-2"/>
        </w:rPr>
        <w:t xml:space="preserve"> </w:t>
      </w:r>
      <w:r>
        <w:rPr>
          <w:spacing w:val="-2"/>
        </w:rPr>
        <w:t xml:space="preserve">en faisant la demande écrite à l’adresse indiquée ci-après accompagnée du versement non remboursable de </w:t>
      </w:r>
      <w:r w:rsidR="00E75838" w:rsidRPr="00EB48A6">
        <w:rPr>
          <w:b/>
          <w:i/>
          <w:spacing w:val="-2"/>
          <w:u w:val="single"/>
        </w:rPr>
        <w:t>20 000 FDJ</w:t>
      </w:r>
      <w:r w:rsidRPr="00EB48A6">
        <w:rPr>
          <w:b/>
          <w:spacing w:val="-2"/>
          <w:u w:val="single"/>
        </w:rPr>
        <w:t xml:space="preserve"> </w:t>
      </w:r>
      <w:r w:rsidR="00E75838">
        <w:rPr>
          <w:spacing w:val="-2"/>
        </w:rPr>
        <w:t>.</w:t>
      </w:r>
      <w:r>
        <w:rPr>
          <w:spacing w:val="-2"/>
        </w:rPr>
        <w:t>La méthode de paiement sera</w:t>
      </w:r>
      <w:r w:rsidR="00E75838">
        <w:rPr>
          <w:i/>
          <w:spacing w:val="-2"/>
        </w:rPr>
        <w:t xml:space="preserve"> </w:t>
      </w:r>
      <w:r w:rsidR="00E75838" w:rsidRPr="00E75838">
        <w:rPr>
          <w:b/>
          <w:i/>
          <w:spacing w:val="-2"/>
          <w:u w:val="single"/>
        </w:rPr>
        <w:t>en espèces</w:t>
      </w:r>
      <w:r w:rsidRPr="00E75838">
        <w:rPr>
          <w:b/>
          <w:spacing w:val="-2"/>
          <w:u w:val="single"/>
        </w:rPr>
        <w:t>.</w:t>
      </w:r>
      <w:r>
        <w:rPr>
          <w:spacing w:val="-2"/>
        </w:rPr>
        <w:t xml:space="preserve"> </w:t>
      </w:r>
      <w:r w:rsidR="00836B4F">
        <w:rPr>
          <w:spacing w:val="-2"/>
        </w:rPr>
        <w:t xml:space="preserve">Le document sera adressé </w:t>
      </w:r>
      <w:r w:rsidR="00836B4F" w:rsidRPr="00836B4F">
        <w:rPr>
          <w:b/>
          <w:spacing w:val="-2"/>
          <w:u w:val="single"/>
        </w:rPr>
        <w:lastRenderedPageBreak/>
        <w:t>par voie électronique</w:t>
      </w:r>
      <w:r w:rsidR="00836B4F">
        <w:rPr>
          <w:spacing w:val="-2"/>
        </w:rPr>
        <w:t xml:space="preserve">. </w:t>
      </w:r>
      <w:r w:rsidR="00EB48A6">
        <w:rPr>
          <w:spacing w:val="-2"/>
        </w:rPr>
        <w:t xml:space="preserve">Les </w:t>
      </w:r>
      <w:r>
        <w:rPr>
          <w:i/>
          <w:spacing w:val="-2"/>
        </w:rPr>
        <w:t xml:space="preserve">documents peuvent être achetés </w:t>
      </w:r>
      <w:r w:rsidRPr="00EB48A6">
        <w:rPr>
          <w:b/>
          <w:i/>
          <w:spacing w:val="-2"/>
          <w:u w:val="single"/>
        </w:rPr>
        <w:t>électroniquement</w:t>
      </w:r>
      <w:r>
        <w:rPr>
          <w:i/>
          <w:spacing w:val="-2"/>
        </w:rPr>
        <w:t xml:space="preserve"> conformément aux procédures décrites dans l’Annexe au présent Avis de pré-qualification</w:t>
      </w:r>
      <w:r w:rsidR="00EB48A6">
        <w:rPr>
          <w:i/>
          <w:spacing w:val="-2"/>
        </w:rPr>
        <w:t>.</w:t>
      </w:r>
    </w:p>
    <w:p w:rsidR="00AD3693" w:rsidRPr="00EB48A6" w:rsidRDefault="00AD3693" w:rsidP="00AD3693">
      <w:pPr>
        <w:spacing w:after="200"/>
        <w:rPr>
          <w:b/>
        </w:rPr>
      </w:pPr>
      <w:r>
        <w:rPr>
          <w:spacing w:val="-2"/>
        </w:rPr>
        <w:t>5. Les dossiers de candidature pour la pré-qualification doivent être déposés sous enveloppe cachetée délivrée à l’adresse ci-après avant le</w:t>
      </w:r>
      <w:r w:rsidR="00EB48A6">
        <w:rPr>
          <w:spacing w:val="-2"/>
        </w:rPr>
        <w:t xml:space="preserve"> </w:t>
      </w:r>
      <w:r w:rsidR="00EF7CBA">
        <w:rPr>
          <w:b/>
          <w:i/>
          <w:spacing w:val="-2"/>
          <w:u w:val="single"/>
        </w:rPr>
        <w:t>29</w:t>
      </w:r>
      <w:r w:rsidR="00EB48A6" w:rsidRPr="00EB48A6">
        <w:rPr>
          <w:b/>
          <w:i/>
          <w:spacing w:val="-2"/>
          <w:u w:val="single"/>
        </w:rPr>
        <w:t xml:space="preserve"> Décembre 2022</w:t>
      </w:r>
      <w:r>
        <w:rPr>
          <w:spacing w:val="-2"/>
        </w:rPr>
        <w:t xml:space="preserve">, et doivent être clairement marquées « Candidature de pré-qualification pour </w:t>
      </w:r>
      <w:r w:rsidR="00EB48A6" w:rsidRPr="00DE7747">
        <w:rPr>
          <w:b/>
          <w:bCs/>
          <w:iCs/>
          <w:szCs w:val="24"/>
        </w:rPr>
        <w:t>:</w:t>
      </w:r>
      <w:r w:rsidR="00EB48A6">
        <w:rPr>
          <w:bCs/>
          <w:i/>
          <w:iCs/>
          <w:szCs w:val="24"/>
        </w:rPr>
        <w:t xml:space="preserve"> </w:t>
      </w:r>
      <w:r w:rsidR="00EB48A6" w:rsidRPr="005034D8">
        <w:rPr>
          <w:b/>
          <w:i/>
        </w:rPr>
        <w:t>Acquisition des équipements généraux et médico-techniques de l’hôpital général de la CNSS.</w:t>
      </w:r>
      <w:r>
        <w:rPr>
          <w:spacing w:val="-2"/>
        </w:rPr>
        <w:t>”</w:t>
      </w:r>
    </w:p>
    <w:p w:rsidR="00EB48A6" w:rsidRPr="00EB48A6" w:rsidRDefault="00EB48A6" w:rsidP="00EB48A6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ind w:left="2880" w:hanging="2880"/>
        <w:rPr>
          <w:b/>
          <w:spacing w:val="-3"/>
        </w:rPr>
      </w:pPr>
      <w:r w:rsidRPr="001806AB">
        <w:rPr>
          <w:b/>
          <w:spacing w:val="-3"/>
        </w:rPr>
        <w:t>Caisse Nationale de la Sécurité Sociale (CNSS)</w:t>
      </w:r>
    </w:p>
    <w:p w:rsidR="00AD3693" w:rsidRPr="00EB48A6" w:rsidRDefault="00EB48A6" w:rsidP="00AD3693">
      <w:pPr>
        <w:rPr>
          <w:b/>
        </w:rPr>
      </w:pPr>
      <w:r w:rsidRPr="00EB48A6">
        <w:rPr>
          <w:b/>
          <w:i/>
        </w:rPr>
        <w:t>Unité de Gestion de Projets</w:t>
      </w:r>
    </w:p>
    <w:p w:rsidR="00AD3693" w:rsidRPr="00EB48A6" w:rsidRDefault="00EB48A6" w:rsidP="00AD3693">
      <w:pPr>
        <w:rPr>
          <w:b/>
        </w:rPr>
      </w:pPr>
      <w:r w:rsidRPr="00EB48A6">
        <w:rPr>
          <w:b/>
          <w:i/>
        </w:rPr>
        <w:t>Mr Marwan Mohamed Omar</w:t>
      </w:r>
    </w:p>
    <w:p w:rsidR="00AD3693" w:rsidRPr="00EB48A6" w:rsidRDefault="00EB48A6" w:rsidP="00AD3693">
      <w:pPr>
        <w:rPr>
          <w:b/>
        </w:rPr>
      </w:pPr>
      <w:r w:rsidRPr="00EB48A6">
        <w:rPr>
          <w:b/>
          <w:i/>
        </w:rPr>
        <w:t xml:space="preserve">696 </w:t>
      </w:r>
      <w:r w:rsidRPr="00EB48A6">
        <w:rPr>
          <w:b/>
        </w:rPr>
        <w:t>et</w:t>
      </w:r>
      <w:r w:rsidR="00AD3693" w:rsidRPr="00EB48A6">
        <w:rPr>
          <w:b/>
        </w:rPr>
        <w:t xml:space="preserve"> </w:t>
      </w:r>
      <w:r w:rsidRPr="00EB48A6">
        <w:rPr>
          <w:b/>
          <w:i/>
        </w:rPr>
        <w:t>Boulevard de la République,</w:t>
      </w:r>
    </w:p>
    <w:p w:rsidR="00AD3693" w:rsidRPr="00EB48A6" w:rsidRDefault="00EB48A6" w:rsidP="00EB48A6">
      <w:pPr>
        <w:rPr>
          <w:b/>
        </w:rPr>
      </w:pPr>
      <w:r w:rsidRPr="00EB48A6">
        <w:rPr>
          <w:b/>
          <w:i/>
        </w:rPr>
        <w:t>00253.21.25.07.22</w:t>
      </w:r>
      <w:r w:rsidR="00AD3693" w:rsidRPr="00EB48A6">
        <w:rPr>
          <w:b/>
          <w:i/>
        </w:rPr>
        <w:t xml:space="preserve">, </w:t>
      </w:r>
    </w:p>
    <w:p w:rsidR="00EB48A6" w:rsidRPr="00EB48A6" w:rsidRDefault="001C5144" w:rsidP="00EB48A6">
      <w:hyperlink r:id="rId8" w:history="1">
        <w:r w:rsidR="00EB48A6" w:rsidRPr="00FD109F">
          <w:rPr>
            <w:rStyle w:val="Lienhypertexte"/>
            <w:b/>
            <w:bCs/>
          </w:rPr>
          <w:t>ugp@ugp-cnss.org</w:t>
        </w:r>
      </w:hyperlink>
    </w:p>
    <w:p w:rsidR="00AD3693" w:rsidRDefault="00AD3693"/>
    <w:sectPr w:rsidR="00AD3693" w:rsidSect="00FE0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F7D" w:rsidRDefault="00200F7D" w:rsidP="00AD3693">
      <w:r>
        <w:separator/>
      </w:r>
    </w:p>
  </w:endnote>
  <w:endnote w:type="continuationSeparator" w:id="1">
    <w:p w:rsidR="00200F7D" w:rsidRDefault="00200F7D" w:rsidP="00AD3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F7D" w:rsidRDefault="00200F7D" w:rsidP="00AD3693">
      <w:r>
        <w:separator/>
      </w:r>
    </w:p>
  </w:footnote>
  <w:footnote w:type="continuationSeparator" w:id="1">
    <w:p w:rsidR="00200F7D" w:rsidRDefault="00200F7D" w:rsidP="00AD36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D3693"/>
    <w:rsid w:val="00195366"/>
    <w:rsid w:val="001C5144"/>
    <w:rsid w:val="00200F7D"/>
    <w:rsid w:val="004F351F"/>
    <w:rsid w:val="005034D8"/>
    <w:rsid w:val="00836B4F"/>
    <w:rsid w:val="009E1E53"/>
    <w:rsid w:val="00A0250B"/>
    <w:rsid w:val="00AA2938"/>
    <w:rsid w:val="00AD3693"/>
    <w:rsid w:val="00D15613"/>
    <w:rsid w:val="00DC5150"/>
    <w:rsid w:val="00E413B3"/>
    <w:rsid w:val="00E75838"/>
    <w:rsid w:val="00EB48A6"/>
    <w:rsid w:val="00EF7CBA"/>
    <w:rsid w:val="00FE0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693"/>
    <w:p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rsid w:val="00AD3693"/>
    <w:rPr>
      <w:vertAlign w:val="superscript"/>
    </w:rPr>
  </w:style>
  <w:style w:type="paragraph" w:styleId="Notedebasdepage">
    <w:name w:val="footnote text"/>
    <w:aliases w:val="fn,ADB,single space,footnote text Char,fn Char,ADB Char,single space Char Char,Fußnotentextf,single space Char ,Footnote,Footnote Text Char2 Char,Footnote Text Char Char1 Char1,Footnote Text Char1 Char Char Char1,footnote text"/>
    <w:basedOn w:val="Normal"/>
    <w:link w:val="NotedebasdepageCar"/>
    <w:qFormat/>
    <w:rsid w:val="00AD3693"/>
    <w:rPr>
      <w:sz w:val="20"/>
    </w:rPr>
  </w:style>
  <w:style w:type="character" w:customStyle="1" w:styleId="FootnoteTextChar">
    <w:name w:val="Footnote Text Char"/>
    <w:basedOn w:val="Policepardfaut"/>
    <w:uiPriority w:val="99"/>
    <w:semiHidden/>
    <w:rsid w:val="00AD3693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BankNormal">
    <w:name w:val="BankNormal"/>
    <w:basedOn w:val="Normal"/>
    <w:rsid w:val="00AD3693"/>
    <w:pPr>
      <w:suppressAutoHyphens w:val="0"/>
      <w:spacing w:after="240"/>
      <w:jc w:val="left"/>
    </w:pPr>
    <w:rPr>
      <w:lang w:val="en-US"/>
    </w:rPr>
  </w:style>
  <w:style w:type="character" w:customStyle="1" w:styleId="NotedebasdepageCar">
    <w:name w:val="Note de bas de page Car"/>
    <w:aliases w:val="fn Car,ADB Car,single space Car,footnote text Char Car,fn Char Car,ADB Char Car,single space Char Char Car,Fußnotentextf Car,single space Char  Car,Footnote Car,Footnote Text Char2 Char Car,Footnote Text Char Char1 Char1 Car"/>
    <w:link w:val="Notedebasdepage"/>
    <w:rsid w:val="00AD3693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Notedefin">
    <w:name w:val="endnote text"/>
    <w:basedOn w:val="Normal"/>
    <w:link w:val="NotedefinCar"/>
    <w:semiHidden/>
    <w:rsid w:val="00AD3693"/>
    <w:pPr>
      <w:widowControl w:val="0"/>
      <w:suppressAutoHyphens w:val="0"/>
      <w:overflowPunct/>
      <w:autoSpaceDE/>
      <w:autoSpaceDN/>
      <w:adjustRightInd/>
      <w:jc w:val="left"/>
      <w:textAlignment w:val="auto"/>
    </w:pPr>
    <w:rPr>
      <w:sz w:val="20"/>
      <w:lang w:val="en-US" w:eastAsia="en-US"/>
    </w:rPr>
  </w:style>
  <w:style w:type="character" w:customStyle="1" w:styleId="NotedefinCar">
    <w:name w:val="Note de fin Car"/>
    <w:basedOn w:val="Policepardfaut"/>
    <w:link w:val="Notedefin"/>
    <w:semiHidden/>
    <w:rsid w:val="00AD3693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1">
    <w:name w:val="Header1"/>
    <w:basedOn w:val="Normal"/>
    <w:rsid w:val="00AD3693"/>
    <w:pPr>
      <w:widowControl w:val="0"/>
      <w:suppressAutoHyphens w:val="0"/>
      <w:overflowPunct/>
      <w:autoSpaceDE/>
      <w:autoSpaceDN/>
      <w:adjustRightInd/>
      <w:jc w:val="center"/>
      <w:textAlignment w:val="auto"/>
    </w:pPr>
    <w:rPr>
      <w:rFonts w:ascii="Times New Roman Bold" w:hAnsi="Times New Roman Bold"/>
      <w:b/>
      <w:smallCaps/>
      <w:sz w:val="36"/>
      <w:lang w:val="en-US" w:eastAsia="en-US"/>
    </w:rPr>
  </w:style>
  <w:style w:type="character" w:styleId="Lienhypertexte">
    <w:name w:val="Hyperlink"/>
    <w:semiHidden/>
    <w:rsid w:val="00EB48A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536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5366"/>
    <w:rPr>
      <w:rFonts w:ascii="Tahoma" w:eastAsia="Times New Roman" w:hAnsi="Tahoma" w:cs="Tahoma"/>
      <w:sz w:val="16"/>
      <w:szCs w:val="16"/>
      <w:lang w:val="fr-FR" w:eastAsia="fr-FR"/>
    </w:rPr>
  </w:style>
  <w:style w:type="table" w:styleId="Grilledutableau">
    <w:name w:val="Table Grid"/>
    <w:basedOn w:val="TableauNormal"/>
    <w:uiPriority w:val="59"/>
    <w:rsid w:val="00195366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p@ugp-cnss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Ndeye Fatou Diongue</dc:creator>
  <cp:lastModifiedBy>Louli Ibrahim Hamadou</cp:lastModifiedBy>
  <cp:revision>2</cp:revision>
  <dcterms:created xsi:type="dcterms:W3CDTF">2022-11-14T07:15:00Z</dcterms:created>
  <dcterms:modified xsi:type="dcterms:W3CDTF">2022-11-14T07:15:00Z</dcterms:modified>
</cp:coreProperties>
</file>