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9" w:type="dxa"/>
        <w:jc w:val="center"/>
        <w:tblLook w:val="04A0" w:firstRow="1" w:lastRow="0" w:firstColumn="1" w:lastColumn="0" w:noHBand="0" w:noVBand="1"/>
      </w:tblPr>
      <w:tblGrid>
        <w:gridCol w:w="5954"/>
        <w:gridCol w:w="5245"/>
      </w:tblGrid>
      <w:tr w:rsidR="00A04389" w:rsidRPr="00A04389" w:rsidTr="00C603D2">
        <w:trPr>
          <w:trHeight w:val="2127"/>
          <w:jc w:val="center"/>
        </w:trPr>
        <w:tc>
          <w:tcPr>
            <w:tcW w:w="5954" w:type="dxa"/>
          </w:tcPr>
          <w:p w:rsidR="00A04389" w:rsidRPr="00D971DC" w:rsidRDefault="00A04389" w:rsidP="00C603D2">
            <w:pPr>
              <w:pStyle w:val="BankNormal"/>
              <w:spacing w:after="0"/>
              <w:jc w:val="center"/>
              <w:rPr>
                <w:b/>
                <w:lang w:val="fr-CA"/>
              </w:rPr>
            </w:pPr>
            <w:r w:rsidRPr="00D971DC">
              <w:rPr>
                <w:b/>
                <w:lang w:val="fr-CA"/>
              </w:rPr>
              <w:t>REPUBLIQUE TOGOLAISE</w:t>
            </w:r>
          </w:p>
          <w:p w:rsidR="00A04389" w:rsidRPr="00D971DC" w:rsidRDefault="00A04389" w:rsidP="00C603D2">
            <w:pPr>
              <w:pStyle w:val="BankNormal"/>
              <w:spacing w:after="0"/>
              <w:jc w:val="center"/>
              <w:rPr>
                <w:b/>
                <w:bCs/>
                <w:sz w:val="16"/>
                <w:szCs w:val="16"/>
                <w:lang w:val="fr-CA"/>
              </w:rPr>
            </w:pPr>
            <w:r w:rsidRPr="00D971DC">
              <w:rPr>
                <w:b/>
                <w:bCs/>
                <w:sz w:val="16"/>
                <w:szCs w:val="16"/>
                <w:lang w:val="fr-CA"/>
              </w:rPr>
              <w:t>Travail  -  Liberté  -  Patrie</w:t>
            </w:r>
          </w:p>
          <w:p w:rsidR="00A04389" w:rsidRPr="00A04389" w:rsidRDefault="00A04389" w:rsidP="00C603D2">
            <w:pPr>
              <w:pStyle w:val="BankNormal"/>
              <w:spacing w:after="0"/>
              <w:jc w:val="center"/>
              <w:rPr>
                <w:b/>
                <w:color w:val="0070C0"/>
                <w:lang w:val="fr-CA"/>
              </w:rPr>
            </w:pPr>
            <w:r w:rsidRPr="00A04389">
              <w:rPr>
                <w:noProof/>
                <w:lang w:val="fr-FR"/>
              </w:rPr>
              <w:drawing>
                <wp:anchor distT="36576" distB="36576" distL="36576" distR="36576" simplePos="0" relativeHeight="251659264" behindDoc="0" locked="0" layoutInCell="1" allowOverlap="1" wp14:anchorId="6C8AFA82" wp14:editId="2AB94B2F">
                  <wp:simplePos x="0" y="0"/>
                  <wp:positionH relativeFrom="column">
                    <wp:posOffset>1374140</wp:posOffset>
                  </wp:positionH>
                  <wp:positionV relativeFrom="paragraph">
                    <wp:posOffset>69850</wp:posOffset>
                  </wp:positionV>
                  <wp:extent cx="607695" cy="59055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cstate="print">
                            <a:extLst>
                              <a:ext uri="{28A0092B-C50C-407E-A947-70E740481C1C}">
                                <a14:useLocalDpi xmlns:a14="http://schemas.microsoft.com/office/drawing/2010/main" val="0"/>
                              </a:ext>
                            </a:extLst>
                          </a:blip>
                          <a:srcRect r="55563" b="15680"/>
                          <a:stretch>
                            <a:fillRect/>
                          </a:stretch>
                        </pic:blipFill>
                        <pic:spPr bwMode="auto">
                          <a:xfrm>
                            <a:off x="0" y="0"/>
                            <a:ext cx="607695" cy="590550"/>
                          </a:xfrm>
                          <a:prstGeom prst="rect">
                            <a:avLst/>
                          </a:prstGeom>
                          <a:noFill/>
                        </pic:spPr>
                      </pic:pic>
                    </a:graphicData>
                  </a:graphic>
                  <wp14:sizeRelH relativeFrom="page">
                    <wp14:pctWidth>0</wp14:pctWidth>
                  </wp14:sizeRelH>
                  <wp14:sizeRelV relativeFrom="page">
                    <wp14:pctHeight>0</wp14:pctHeight>
                  </wp14:sizeRelV>
                </wp:anchor>
              </w:drawing>
            </w:r>
          </w:p>
          <w:p w:rsidR="00A04389" w:rsidRPr="00A04389" w:rsidRDefault="00A04389" w:rsidP="00C603D2">
            <w:pPr>
              <w:pStyle w:val="BankNormal"/>
              <w:tabs>
                <w:tab w:val="left" w:pos="996"/>
                <w:tab w:val="center" w:pos="2869"/>
              </w:tabs>
              <w:spacing w:after="0"/>
              <w:jc w:val="center"/>
              <w:rPr>
                <w:b/>
                <w:color w:val="0070C0"/>
                <w:lang w:val="fr-CA"/>
              </w:rPr>
            </w:pPr>
          </w:p>
          <w:p w:rsidR="00A04389" w:rsidRPr="00A04389" w:rsidRDefault="00A04389" w:rsidP="00C603D2">
            <w:pPr>
              <w:pStyle w:val="BankNormal"/>
              <w:spacing w:after="0"/>
              <w:rPr>
                <w:b/>
                <w:color w:val="0070C0"/>
                <w:lang w:val="fr-CA"/>
              </w:rPr>
            </w:pPr>
          </w:p>
          <w:p w:rsidR="00A04389" w:rsidRPr="00A04389" w:rsidRDefault="00A04389" w:rsidP="00C603D2">
            <w:pPr>
              <w:pStyle w:val="BankNormal"/>
              <w:spacing w:after="0"/>
              <w:jc w:val="center"/>
              <w:rPr>
                <w:b/>
                <w:bCs/>
                <w:lang w:val="fr-CA"/>
              </w:rPr>
            </w:pPr>
          </w:p>
          <w:p w:rsidR="00A04389" w:rsidRPr="00A04389" w:rsidRDefault="00A04389" w:rsidP="00C603D2">
            <w:pPr>
              <w:pStyle w:val="BankNormal"/>
              <w:spacing w:after="0"/>
              <w:jc w:val="center"/>
              <w:rPr>
                <w:b/>
                <w:bCs/>
                <w:lang w:val="fr-CA"/>
              </w:rPr>
            </w:pPr>
            <w:r w:rsidRPr="00A04389">
              <w:rPr>
                <w:b/>
                <w:bCs/>
                <w:lang w:val="fr-CA"/>
              </w:rPr>
              <w:t>MINISTÈRE DE L’EAU ET DE L’HYDRAULIQUE VILLAGEOISE</w:t>
            </w:r>
          </w:p>
          <w:p w:rsidR="00A04389" w:rsidRPr="00A04389" w:rsidRDefault="00A04389" w:rsidP="00C603D2">
            <w:pPr>
              <w:pStyle w:val="BankNormal"/>
              <w:spacing w:after="0"/>
              <w:jc w:val="center"/>
              <w:rPr>
                <w:b/>
                <w:bCs/>
                <w:lang w:val="fr-CA"/>
              </w:rPr>
            </w:pPr>
            <w:r w:rsidRPr="00A04389">
              <w:rPr>
                <w:b/>
                <w:bCs/>
                <w:lang w:val="fr-CA"/>
              </w:rPr>
              <w:t xml:space="preserve">Maître d’Ouvrage </w:t>
            </w:r>
          </w:p>
        </w:tc>
        <w:tc>
          <w:tcPr>
            <w:tcW w:w="5245" w:type="dxa"/>
          </w:tcPr>
          <w:p w:rsidR="00A04389" w:rsidRPr="00A04389" w:rsidRDefault="00A04389" w:rsidP="00C603D2">
            <w:pPr>
              <w:pStyle w:val="BankNormal"/>
              <w:spacing w:after="0"/>
              <w:jc w:val="center"/>
              <w:rPr>
                <w:b/>
                <w:color w:val="0070C0"/>
                <w:sz w:val="20"/>
                <w:lang w:val="fr-CA"/>
              </w:rPr>
            </w:pPr>
          </w:p>
          <w:p w:rsidR="00A04389" w:rsidRPr="00A04389" w:rsidRDefault="00A04389" w:rsidP="00C603D2">
            <w:pPr>
              <w:pStyle w:val="BankNormal"/>
              <w:spacing w:after="0"/>
              <w:rPr>
                <w:b/>
                <w:bCs/>
                <w:sz w:val="8"/>
                <w:lang w:val="fr-CA"/>
              </w:rPr>
            </w:pPr>
            <w:r w:rsidRPr="00A04389">
              <w:rPr>
                <w:b/>
                <w:bCs/>
                <w:noProof/>
                <w:sz w:val="8"/>
                <w:lang w:val="fr-FR"/>
              </w:rPr>
              <w:drawing>
                <wp:inline distT="0" distB="0" distL="0" distR="0" wp14:anchorId="21860A97" wp14:editId="2E510565">
                  <wp:extent cx="2731135" cy="719455"/>
                  <wp:effectExtent l="0" t="0" r="0" b="444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rsidR="00A04389" w:rsidRPr="00A04389" w:rsidRDefault="00A04389" w:rsidP="00C603D2">
            <w:pPr>
              <w:pStyle w:val="BankNormal"/>
              <w:spacing w:after="0"/>
              <w:rPr>
                <w:b/>
                <w:bCs/>
                <w:lang w:val="fr-CA"/>
              </w:rPr>
            </w:pPr>
          </w:p>
          <w:p w:rsidR="00A04389" w:rsidRPr="00A04389" w:rsidRDefault="00A04389" w:rsidP="00C603D2">
            <w:pPr>
              <w:pStyle w:val="BankNormal"/>
              <w:spacing w:after="0"/>
              <w:jc w:val="center"/>
              <w:rPr>
                <w:b/>
                <w:bCs/>
                <w:lang w:val="fr-CA"/>
              </w:rPr>
            </w:pPr>
            <w:r w:rsidRPr="00A04389">
              <w:rPr>
                <w:b/>
                <w:bCs/>
                <w:lang w:val="fr-CA"/>
              </w:rPr>
              <w:t>BANQUE ISLAMIQUE DE DEVELOPPEMENT</w:t>
            </w:r>
          </w:p>
          <w:p w:rsidR="00A04389" w:rsidRPr="00A04389" w:rsidRDefault="00A04389" w:rsidP="00C603D2">
            <w:pPr>
              <w:pStyle w:val="BankNormal"/>
              <w:spacing w:after="0"/>
              <w:jc w:val="center"/>
              <w:rPr>
                <w:b/>
                <w:bCs/>
                <w:lang w:val="fr-CA"/>
              </w:rPr>
            </w:pPr>
            <w:r w:rsidRPr="00A04389">
              <w:rPr>
                <w:b/>
                <w:bCs/>
                <w:lang w:val="fr-CA"/>
              </w:rPr>
              <w:t>Bailleur de fonds</w:t>
            </w:r>
          </w:p>
          <w:p w:rsidR="00A04389" w:rsidRPr="00A04389" w:rsidRDefault="00A04389" w:rsidP="00C603D2">
            <w:pPr>
              <w:pStyle w:val="BankNormal"/>
              <w:spacing w:after="0"/>
              <w:jc w:val="center"/>
              <w:rPr>
                <w:b/>
                <w:color w:val="0070C0"/>
                <w:sz w:val="20"/>
                <w:lang w:val="fr-CA"/>
              </w:rPr>
            </w:pPr>
          </w:p>
        </w:tc>
      </w:tr>
    </w:tbl>
    <w:p w:rsidR="00A04389" w:rsidRDefault="00A04389" w:rsidP="00A04389">
      <w:pPr>
        <w:jc w:val="center"/>
        <w:rPr>
          <w:rStyle w:val="fontstyle01"/>
          <w:rFonts w:ascii="Times New Roman" w:hAnsi="Times New Roman"/>
          <w:sz w:val="28"/>
        </w:rPr>
      </w:pPr>
    </w:p>
    <w:p w:rsidR="00A04389" w:rsidRPr="003017B4" w:rsidRDefault="00A04389" w:rsidP="00A04389">
      <w:pPr>
        <w:jc w:val="center"/>
        <w:rPr>
          <w:rStyle w:val="fontstyle21"/>
          <w:rFonts w:ascii="Times New Roman" w:hAnsi="Times New Roman"/>
        </w:rPr>
      </w:pPr>
      <w:r w:rsidRPr="003017B4">
        <w:rPr>
          <w:rStyle w:val="fontstyle01"/>
          <w:rFonts w:ascii="Times New Roman" w:hAnsi="Times New Roman"/>
          <w:sz w:val="28"/>
        </w:rPr>
        <w:t>Avis d’appel d’offres national n°</w:t>
      </w:r>
      <w:r w:rsidR="00130961">
        <w:rPr>
          <w:rStyle w:val="fontstyle01"/>
          <w:rFonts w:ascii="Times New Roman" w:hAnsi="Times New Roman"/>
          <w:sz w:val="28"/>
        </w:rPr>
        <w:t>060</w:t>
      </w:r>
      <w:r w:rsidRPr="003017B4">
        <w:rPr>
          <w:rStyle w:val="fontstyle01"/>
          <w:rFonts w:ascii="Times New Roman" w:hAnsi="Times New Roman"/>
          <w:sz w:val="28"/>
        </w:rPr>
        <w:t xml:space="preserve">/23/MEHV/Cab/SG/PRMP </w:t>
      </w:r>
    </w:p>
    <w:p w:rsidR="00A04389" w:rsidRPr="00A04389" w:rsidRDefault="00A04389" w:rsidP="00A04389">
      <w:pPr>
        <w:rPr>
          <w:rStyle w:val="fontstyle21"/>
          <w:rFonts w:ascii="Times New Roman" w:hAnsi="Times New Roman"/>
        </w:rPr>
      </w:pPr>
      <w:r w:rsidRPr="00A04389">
        <w:rPr>
          <w:rStyle w:val="fontstyle21"/>
          <w:rFonts w:ascii="Times New Roman" w:hAnsi="Times New Roman"/>
        </w:rPr>
        <w:t>Travaux de réalisation de huit (08) forages positifs à gros débit dans les quatre (4) centres urbains d’A</w:t>
      </w:r>
      <w:r w:rsidR="003017B4" w:rsidRPr="00A04389">
        <w:rPr>
          <w:rStyle w:val="fontstyle21"/>
          <w:rFonts w:ascii="Times New Roman" w:hAnsi="Times New Roman"/>
        </w:rPr>
        <w:t>deta</w:t>
      </w:r>
      <w:r w:rsidRPr="00A04389">
        <w:rPr>
          <w:rStyle w:val="fontstyle21"/>
          <w:rFonts w:ascii="Times New Roman" w:hAnsi="Times New Roman"/>
        </w:rPr>
        <w:t>, d’A</w:t>
      </w:r>
      <w:r w:rsidR="003017B4" w:rsidRPr="00A04389">
        <w:rPr>
          <w:rStyle w:val="fontstyle21"/>
          <w:rFonts w:ascii="Times New Roman" w:hAnsi="Times New Roman"/>
        </w:rPr>
        <w:t>fagnan</w:t>
      </w:r>
      <w:r w:rsidRPr="00A04389">
        <w:rPr>
          <w:rStyle w:val="fontstyle21"/>
          <w:rFonts w:ascii="Times New Roman" w:hAnsi="Times New Roman"/>
        </w:rPr>
        <w:t>, de D</w:t>
      </w:r>
      <w:r w:rsidR="003017B4" w:rsidRPr="00A04389">
        <w:rPr>
          <w:rStyle w:val="fontstyle21"/>
          <w:rFonts w:ascii="Times New Roman" w:hAnsi="Times New Roman"/>
        </w:rPr>
        <w:t>jarkpanga</w:t>
      </w:r>
      <w:r w:rsidRPr="00A04389">
        <w:rPr>
          <w:rStyle w:val="fontstyle21"/>
          <w:rFonts w:ascii="Times New Roman" w:hAnsi="Times New Roman"/>
        </w:rPr>
        <w:t xml:space="preserve"> et de K</w:t>
      </w:r>
      <w:r w:rsidR="003017B4" w:rsidRPr="00A04389">
        <w:rPr>
          <w:rStyle w:val="fontstyle21"/>
          <w:rFonts w:ascii="Times New Roman" w:hAnsi="Times New Roman"/>
        </w:rPr>
        <w:t>ougnohou</w:t>
      </w:r>
      <w:r w:rsidRPr="00A04389">
        <w:rPr>
          <w:rStyle w:val="fontstyle21"/>
          <w:rFonts w:ascii="Times New Roman" w:hAnsi="Times New Roman"/>
        </w:rPr>
        <w:t xml:space="preserve"> au Togo</w:t>
      </w:r>
      <w:r>
        <w:rPr>
          <w:rStyle w:val="fontstyle21"/>
          <w:rFonts w:ascii="Times New Roman" w:hAnsi="Times New Roman"/>
        </w:rPr>
        <w:t>/</w:t>
      </w:r>
      <w:r w:rsidRPr="00A04389">
        <w:rPr>
          <w:rStyle w:val="fontstyle21"/>
          <w:rFonts w:ascii="Times New Roman" w:eastAsia="Calibri" w:hAnsi="Times New Roman"/>
        </w:rPr>
        <w:t>projet d’approvisionnement en eau potable et assainissement dans quatre centres urbains che</w:t>
      </w:r>
      <w:r w:rsidRPr="00A04389">
        <w:rPr>
          <w:rStyle w:val="fontstyle21"/>
          <w:rFonts w:ascii="Times New Roman" w:hAnsi="Times New Roman"/>
        </w:rPr>
        <w:t>fs-lieux de préfectures au Togo</w:t>
      </w:r>
    </w:p>
    <w:p w:rsidR="00A04389" w:rsidRDefault="00A04389" w:rsidP="00A04389">
      <w:pPr>
        <w:rPr>
          <w:rStyle w:val="fontstyle31"/>
          <w:rFonts w:ascii="Times New Roman" w:hAnsi="Times New Roman"/>
          <w:i w:val="0"/>
        </w:rPr>
      </w:pPr>
    </w:p>
    <w:p w:rsidR="00A04389" w:rsidRPr="00A04389" w:rsidRDefault="00A04389" w:rsidP="00A04389">
      <w:pPr>
        <w:rPr>
          <w:rStyle w:val="fontstyle01"/>
          <w:rFonts w:ascii="Times New Roman" w:hAnsi="Times New Roman"/>
          <w:sz w:val="24"/>
          <w:szCs w:val="24"/>
        </w:rPr>
      </w:pPr>
      <w:r w:rsidRPr="00A04389">
        <w:rPr>
          <w:rStyle w:val="fontstyle31"/>
          <w:rFonts w:ascii="Times New Roman" w:hAnsi="Times New Roman"/>
          <w:i w:val="0"/>
        </w:rPr>
        <w:t xml:space="preserve">Secteur : </w:t>
      </w:r>
      <w:r w:rsidRPr="00A04389">
        <w:rPr>
          <w:rStyle w:val="fontstyle01"/>
          <w:rFonts w:ascii="Times New Roman" w:hAnsi="Times New Roman"/>
          <w:sz w:val="24"/>
          <w:szCs w:val="24"/>
        </w:rPr>
        <w:t>Eau et Assainissement</w:t>
      </w:r>
    </w:p>
    <w:p w:rsidR="00A04389" w:rsidRDefault="00A04389" w:rsidP="00A04389">
      <w:pPr>
        <w:rPr>
          <w:rStyle w:val="fontstyle21"/>
          <w:rFonts w:ascii="Times New Roman" w:hAnsi="Times New Roman"/>
          <w:szCs w:val="28"/>
        </w:rPr>
      </w:pPr>
    </w:p>
    <w:p w:rsidR="00A04389" w:rsidRPr="00A04389" w:rsidRDefault="003017B4" w:rsidP="00A04389">
      <w:pPr>
        <w:rPr>
          <w:rStyle w:val="fontstyle21"/>
          <w:rFonts w:ascii="Times New Roman" w:hAnsi="Times New Roman"/>
          <w:sz w:val="28"/>
          <w:szCs w:val="28"/>
        </w:rPr>
      </w:pPr>
      <w:r>
        <w:rPr>
          <w:rStyle w:val="fontstyle21"/>
          <w:rFonts w:ascii="Times New Roman" w:hAnsi="Times New Roman"/>
          <w:szCs w:val="28"/>
        </w:rPr>
        <w:t>Acquisition de Biens/</w:t>
      </w:r>
      <w:r w:rsidR="00A04389" w:rsidRPr="00A04389">
        <w:rPr>
          <w:rStyle w:val="fontstyle21"/>
          <w:rFonts w:ascii="Times New Roman" w:hAnsi="Times New Roman"/>
          <w:szCs w:val="28"/>
        </w:rPr>
        <w:t>Travaux</w:t>
      </w:r>
    </w:p>
    <w:p w:rsidR="00A04389" w:rsidRDefault="00A04389" w:rsidP="00A04389">
      <w:pPr>
        <w:ind w:right="-28"/>
        <w:jc w:val="left"/>
        <w:outlineLvl w:val="1"/>
        <w:rPr>
          <w:rStyle w:val="fontstyle31"/>
          <w:rFonts w:ascii="Times New Roman" w:hAnsi="Times New Roman"/>
          <w:i w:val="0"/>
        </w:rPr>
      </w:pPr>
      <w:bookmarkStart w:id="0" w:name="_GoBack"/>
      <w:bookmarkEnd w:id="0"/>
    </w:p>
    <w:p w:rsidR="00A04389" w:rsidRPr="00A04389" w:rsidRDefault="00A04389" w:rsidP="00A04389">
      <w:pPr>
        <w:ind w:right="-28"/>
        <w:outlineLvl w:val="1"/>
        <w:rPr>
          <w:sz w:val="22"/>
          <w:szCs w:val="22"/>
        </w:rPr>
      </w:pPr>
      <w:r w:rsidRPr="00A04389">
        <w:rPr>
          <w:rStyle w:val="fontstyle31"/>
          <w:rFonts w:ascii="Times New Roman" w:hAnsi="Times New Roman"/>
          <w:i w:val="0"/>
        </w:rPr>
        <w:t xml:space="preserve">Mode de financement : </w:t>
      </w:r>
      <w:r w:rsidRPr="00A04389">
        <w:rPr>
          <w:rStyle w:val="fontstyle21"/>
          <w:rFonts w:ascii="Times New Roman" w:hAnsi="Times New Roman"/>
          <w:sz w:val="20"/>
        </w:rPr>
        <w:t xml:space="preserve">Prêt de la </w:t>
      </w:r>
      <w:r>
        <w:rPr>
          <w:rStyle w:val="fontstyle31"/>
          <w:rFonts w:ascii="Times New Roman" w:hAnsi="Times New Roman"/>
          <w:i w:val="0"/>
        </w:rPr>
        <w:t>BID ; UNIC</w:t>
      </w:r>
      <w:r w:rsidRPr="00A04389">
        <w:rPr>
          <w:rStyle w:val="fontstyle31"/>
          <w:rFonts w:ascii="Times New Roman" w:hAnsi="Times New Roman"/>
          <w:i w:val="0"/>
        </w:rPr>
        <w:t>F</w:t>
      </w:r>
      <w:r>
        <w:rPr>
          <w:rStyle w:val="fontstyle31"/>
          <w:rFonts w:ascii="Times New Roman" w:hAnsi="Times New Roman"/>
          <w:i w:val="0"/>
        </w:rPr>
        <w:t xml:space="preserve"> FICR et Etat togolais </w:t>
      </w:r>
    </w:p>
    <w:p w:rsidR="00A04389" w:rsidRDefault="00A04389" w:rsidP="00A04389">
      <w:pPr>
        <w:rPr>
          <w:rStyle w:val="fontstyle31"/>
          <w:rFonts w:ascii="Times New Roman" w:hAnsi="Times New Roman"/>
          <w:b/>
          <w:i w:val="0"/>
        </w:rPr>
      </w:pPr>
    </w:p>
    <w:p w:rsidR="00A04389" w:rsidRPr="00A04389" w:rsidRDefault="00A04389" w:rsidP="00A04389">
      <w:pPr>
        <w:rPr>
          <w:rStyle w:val="fontstyle31"/>
          <w:rFonts w:ascii="Times New Roman" w:hAnsi="Times New Roman"/>
          <w:b/>
          <w:i w:val="0"/>
        </w:rPr>
      </w:pPr>
      <w:r w:rsidRPr="00A04389">
        <w:rPr>
          <w:rStyle w:val="fontstyle31"/>
          <w:rFonts w:ascii="Times New Roman" w:hAnsi="Times New Roman"/>
          <w:b/>
          <w:i w:val="0"/>
        </w:rPr>
        <w:t>N° du Financement : Projet n°</w:t>
      </w:r>
      <w:r w:rsidRPr="00A04389">
        <w:rPr>
          <w:b/>
          <w:i/>
        </w:rPr>
        <w:t xml:space="preserve"> </w:t>
      </w:r>
      <w:r w:rsidRPr="00A04389">
        <w:rPr>
          <w:rStyle w:val="fontstyle31"/>
          <w:rFonts w:ascii="Times New Roman" w:hAnsi="Times New Roman"/>
          <w:b/>
          <w:i w:val="0"/>
        </w:rPr>
        <w:t>TGO-1011</w:t>
      </w:r>
    </w:p>
    <w:p w:rsidR="00A04389" w:rsidRPr="00A04389" w:rsidRDefault="00A04389" w:rsidP="00A04389">
      <w:pPr>
        <w:rPr>
          <w:lang w:val="en-GB"/>
        </w:rPr>
      </w:pPr>
    </w:p>
    <w:p w:rsidR="00A04389" w:rsidRPr="00A04389" w:rsidRDefault="00A04389" w:rsidP="00A04389">
      <w:pPr>
        <w:pStyle w:val="Paragraphedeliste"/>
        <w:numPr>
          <w:ilvl w:val="0"/>
          <w:numId w:val="1"/>
        </w:numPr>
        <w:outlineLvl w:val="1"/>
        <w:rPr>
          <w:sz w:val="22"/>
          <w:szCs w:val="22"/>
        </w:rPr>
      </w:pPr>
      <w:r w:rsidRPr="00A04389">
        <w:rPr>
          <w:sz w:val="22"/>
          <w:szCs w:val="22"/>
        </w:rPr>
        <w:t>Le gouverne</w:t>
      </w:r>
      <w:r w:rsidR="003017B4">
        <w:rPr>
          <w:sz w:val="22"/>
          <w:szCs w:val="22"/>
        </w:rPr>
        <w:t>ment de la République Togolaise</w:t>
      </w:r>
      <w:r w:rsidRPr="00A04389">
        <w:rPr>
          <w:sz w:val="22"/>
          <w:szCs w:val="22"/>
        </w:rPr>
        <w:t xml:space="preserve"> a obtenu de la Banque Islamique de Développement (BID) des fonds afin de financer le coût des travaux du Projet d’Approvisionnement en Eau Potable et Assainissement dans quatre centres urbains chefs-lieux de préfectures au Togo et se propose d’utiliser une partie des fonds pour effectuer des paiements autorisés au titre du présent Marché.</w:t>
      </w:r>
    </w:p>
    <w:p w:rsidR="00A04389" w:rsidRPr="00A04389" w:rsidRDefault="00A04389" w:rsidP="00A04389">
      <w:pPr>
        <w:pStyle w:val="Paragraphedeliste"/>
        <w:jc w:val="left"/>
        <w:outlineLvl w:val="1"/>
        <w:rPr>
          <w:sz w:val="22"/>
          <w:szCs w:val="22"/>
        </w:rPr>
      </w:pPr>
    </w:p>
    <w:p w:rsidR="00A04389" w:rsidRPr="00A04389" w:rsidRDefault="00A04389" w:rsidP="00A04389">
      <w:pPr>
        <w:numPr>
          <w:ilvl w:val="0"/>
          <w:numId w:val="1"/>
        </w:numPr>
        <w:suppressAutoHyphens w:val="0"/>
        <w:overflowPunct/>
        <w:autoSpaceDE/>
        <w:adjustRightInd/>
        <w:spacing w:after="200"/>
        <w:textAlignment w:val="auto"/>
        <w:rPr>
          <w:sz w:val="22"/>
          <w:szCs w:val="22"/>
        </w:rPr>
      </w:pPr>
      <w:r w:rsidRPr="00A04389">
        <w:rPr>
          <w:sz w:val="22"/>
          <w:szCs w:val="22"/>
        </w:rPr>
        <w:t xml:space="preserve"> Le</w:t>
      </w:r>
      <w:r w:rsidRPr="00A04389">
        <w:rPr>
          <w:i/>
          <w:iCs/>
          <w:sz w:val="22"/>
          <w:szCs w:val="22"/>
        </w:rPr>
        <w:t xml:space="preserve"> </w:t>
      </w:r>
      <w:r w:rsidRPr="00A04389">
        <w:rPr>
          <w:sz w:val="22"/>
          <w:szCs w:val="22"/>
        </w:rPr>
        <w:t xml:space="preserve">Ministère de l’Eau et de l’Hydraulique Villageoise (MEHV) invite, par le présent Appel d’Offres National, les soumissionnaires intéressés à présenter leurs offres sous pli fermé. </w:t>
      </w:r>
    </w:p>
    <w:p w:rsidR="00A04389" w:rsidRDefault="00A04389" w:rsidP="003017B4">
      <w:pPr>
        <w:suppressAutoHyphens w:val="0"/>
        <w:overflowPunct/>
        <w:autoSpaceDE/>
        <w:adjustRightInd/>
        <w:ind w:left="720"/>
        <w:rPr>
          <w:sz w:val="22"/>
          <w:szCs w:val="22"/>
        </w:rPr>
      </w:pPr>
      <w:r w:rsidRPr="00A04389">
        <w:rPr>
          <w:sz w:val="22"/>
          <w:szCs w:val="22"/>
        </w:rPr>
        <w:t>Le présent Appel d’Offres a pour objet :</w:t>
      </w:r>
    </w:p>
    <w:p w:rsidR="003017B4" w:rsidRPr="00A04389" w:rsidRDefault="003017B4" w:rsidP="003017B4">
      <w:pPr>
        <w:suppressAutoHyphens w:val="0"/>
        <w:overflowPunct/>
        <w:autoSpaceDE/>
        <w:adjustRightInd/>
        <w:ind w:left="720"/>
        <w:rPr>
          <w:sz w:val="22"/>
          <w:szCs w:val="22"/>
        </w:rPr>
      </w:pPr>
    </w:p>
    <w:p w:rsidR="00A04389" w:rsidRPr="003017B4" w:rsidRDefault="00A04389" w:rsidP="003017B4">
      <w:pPr>
        <w:numPr>
          <w:ilvl w:val="0"/>
          <w:numId w:val="2"/>
        </w:numPr>
        <w:suppressAutoHyphens w:val="0"/>
        <w:overflowPunct/>
        <w:autoSpaceDE/>
        <w:adjustRightInd/>
        <w:spacing w:line="276" w:lineRule="auto"/>
        <w:textAlignment w:val="auto"/>
        <w:rPr>
          <w:b/>
          <w:i/>
          <w:sz w:val="22"/>
          <w:szCs w:val="22"/>
        </w:rPr>
      </w:pPr>
      <w:r w:rsidRPr="003017B4">
        <w:rPr>
          <w:b/>
          <w:i/>
          <w:sz w:val="22"/>
          <w:szCs w:val="22"/>
        </w:rPr>
        <w:t>La réalisation d’une étude d’investigation hydrogéologique et de prospection géophysique pour huit (8) emplacements dont un pour chacun des centres urbains d’Afagnan, Adéta, Kougnohou et cinq (5) pour Djarkpanga ;</w:t>
      </w:r>
    </w:p>
    <w:p w:rsidR="00A04389" w:rsidRPr="003017B4" w:rsidRDefault="00A04389" w:rsidP="003017B4">
      <w:pPr>
        <w:pStyle w:val="Paragraphedeliste"/>
        <w:numPr>
          <w:ilvl w:val="0"/>
          <w:numId w:val="2"/>
        </w:numPr>
        <w:spacing w:line="276" w:lineRule="auto"/>
        <w:ind w:left="1434" w:hanging="357"/>
        <w:rPr>
          <w:b/>
          <w:i/>
          <w:sz w:val="22"/>
          <w:szCs w:val="22"/>
        </w:rPr>
      </w:pPr>
      <w:r w:rsidRPr="003017B4">
        <w:rPr>
          <w:b/>
          <w:i/>
          <w:sz w:val="22"/>
          <w:szCs w:val="22"/>
        </w:rPr>
        <w:t>La réalisation de soufflage et essais de pompage par paliers et de longue durée pour confirmation de débit d’un forage existant à Adéta ;</w:t>
      </w:r>
    </w:p>
    <w:p w:rsidR="00A04389" w:rsidRPr="003017B4" w:rsidRDefault="00A04389" w:rsidP="003017B4">
      <w:pPr>
        <w:numPr>
          <w:ilvl w:val="0"/>
          <w:numId w:val="2"/>
        </w:numPr>
        <w:suppressAutoHyphens w:val="0"/>
        <w:overflowPunct/>
        <w:autoSpaceDE/>
        <w:adjustRightInd/>
        <w:spacing w:line="276" w:lineRule="auto"/>
        <w:textAlignment w:val="auto"/>
        <w:rPr>
          <w:b/>
          <w:i/>
          <w:sz w:val="22"/>
          <w:szCs w:val="22"/>
        </w:rPr>
      </w:pPr>
      <w:r w:rsidRPr="003017B4">
        <w:rPr>
          <w:b/>
          <w:i/>
          <w:sz w:val="22"/>
          <w:szCs w:val="22"/>
        </w:rPr>
        <w:t>La réalisation de huit (08) forages productifs dont sept (7) à gros débit dans le socle et un (01) dans le sédimentaire (débit d’exploitation ≥ 10 m</w:t>
      </w:r>
      <w:r w:rsidRPr="003017B4">
        <w:rPr>
          <w:b/>
          <w:i/>
          <w:sz w:val="22"/>
          <w:szCs w:val="22"/>
          <w:vertAlign w:val="superscript"/>
        </w:rPr>
        <w:t>3</w:t>
      </w:r>
      <w:r w:rsidRPr="003017B4">
        <w:rPr>
          <w:b/>
          <w:i/>
          <w:sz w:val="22"/>
          <w:szCs w:val="22"/>
        </w:rPr>
        <w:t>/h dans le socle et ≥ 80 m</w:t>
      </w:r>
      <w:r w:rsidRPr="003017B4">
        <w:rPr>
          <w:b/>
          <w:i/>
          <w:sz w:val="22"/>
          <w:szCs w:val="22"/>
          <w:vertAlign w:val="superscript"/>
        </w:rPr>
        <w:t>3</w:t>
      </w:r>
      <w:r w:rsidRPr="003017B4">
        <w:rPr>
          <w:b/>
          <w:i/>
          <w:sz w:val="22"/>
          <w:szCs w:val="22"/>
        </w:rPr>
        <w:t>/h dans le sédimentaire), et qui seront équipés en forages d’exploitation destinés aux systèmes d’adductions d'eau potable ;</w:t>
      </w:r>
    </w:p>
    <w:p w:rsidR="003017B4" w:rsidRPr="003017B4" w:rsidRDefault="00A04389" w:rsidP="003017B4">
      <w:pPr>
        <w:pStyle w:val="Paragraphedeliste"/>
        <w:widowControl w:val="0"/>
        <w:numPr>
          <w:ilvl w:val="0"/>
          <w:numId w:val="2"/>
        </w:numPr>
        <w:suppressAutoHyphens w:val="0"/>
        <w:overflowPunct/>
        <w:autoSpaceDE/>
        <w:adjustRightInd/>
        <w:spacing w:line="276" w:lineRule="auto"/>
        <w:textAlignment w:val="auto"/>
        <w:rPr>
          <w:b/>
          <w:i/>
          <w:sz w:val="22"/>
          <w:szCs w:val="22"/>
        </w:rPr>
      </w:pPr>
      <w:r w:rsidRPr="003017B4">
        <w:rPr>
          <w:b/>
          <w:i/>
          <w:sz w:val="22"/>
          <w:szCs w:val="22"/>
        </w:rPr>
        <w:t>La Fracturation hydraulique des forages insuffisamment productifs dans le socle (débit inférieur à 10 m</w:t>
      </w:r>
      <w:r w:rsidRPr="003017B4">
        <w:rPr>
          <w:b/>
          <w:i/>
          <w:sz w:val="22"/>
          <w:szCs w:val="22"/>
          <w:vertAlign w:val="superscript"/>
        </w:rPr>
        <w:t>3</w:t>
      </w:r>
      <w:r w:rsidRPr="003017B4">
        <w:rPr>
          <w:b/>
          <w:i/>
          <w:sz w:val="22"/>
          <w:szCs w:val="22"/>
        </w:rPr>
        <w:t>/h) ;</w:t>
      </w:r>
    </w:p>
    <w:p w:rsidR="00A04389" w:rsidRPr="003017B4" w:rsidRDefault="00A04389" w:rsidP="003017B4">
      <w:pPr>
        <w:pStyle w:val="Paragraphedeliste"/>
        <w:widowControl w:val="0"/>
        <w:numPr>
          <w:ilvl w:val="0"/>
          <w:numId w:val="2"/>
        </w:numPr>
        <w:suppressAutoHyphens w:val="0"/>
        <w:overflowPunct/>
        <w:autoSpaceDE/>
        <w:adjustRightInd/>
        <w:spacing w:line="276" w:lineRule="auto"/>
        <w:textAlignment w:val="auto"/>
        <w:rPr>
          <w:b/>
          <w:i/>
          <w:sz w:val="22"/>
          <w:szCs w:val="22"/>
        </w:rPr>
      </w:pPr>
      <w:r w:rsidRPr="003017B4">
        <w:rPr>
          <w:b/>
          <w:i/>
          <w:sz w:val="22"/>
          <w:szCs w:val="22"/>
        </w:rPr>
        <w:t>La réalisation de diagraphie (PS, GR et résistivité) sur le forage sédimentaire du centre urbain d’Afagnan ;</w:t>
      </w:r>
    </w:p>
    <w:p w:rsidR="00A04389" w:rsidRPr="003017B4" w:rsidRDefault="00A04389" w:rsidP="003017B4">
      <w:pPr>
        <w:numPr>
          <w:ilvl w:val="0"/>
          <w:numId w:val="2"/>
        </w:numPr>
        <w:suppressAutoHyphens w:val="0"/>
        <w:overflowPunct/>
        <w:autoSpaceDE/>
        <w:adjustRightInd/>
        <w:spacing w:after="200" w:line="276" w:lineRule="auto"/>
        <w:textAlignment w:val="auto"/>
        <w:rPr>
          <w:b/>
          <w:i/>
          <w:sz w:val="22"/>
          <w:szCs w:val="22"/>
        </w:rPr>
      </w:pPr>
      <w:r w:rsidRPr="003017B4">
        <w:rPr>
          <w:b/>
          <w:i/>
          <w:sz w:val="22"/>
          <w:szCs w:val="22"/>
        </w:rPr>
        <w:t>La réalisation du développement et des essais de pompage par paliers et de longue durée sur les huit (08) forages jugés productifs ;</w:t>
      </w:r>
    </w:p>
    <w:p w:rsidR="00A04389" w:rsidRPr="003017B4" w:rsidRDefault="00A04389" w:rsidP="003017B4">
      <w:pPr>
        <w:numPr>
          <w:ilvl w:val="0"/>
          <w:numId w:val="2"/>
        </w:numPr>
        <w:suppressAutoHyphens w:val="0"/>
        <w:overflowPunct/>
        <w:autoSpaceDE/>
        <w:adjustRightInd/>
        <w:spacing w:after="200" w:line="276" w:lineRule="auto"/>
        <w:textAlignment w:val="auto"/>
        <w:rPr>
          <w:b/>
          <w:i/>
          <w:sz w:val="22"/>
          <w:szCs w:val="22"/>
        </w:rPr>
      </w:pPr>
      <w:r w:rsidRPr="00A04389">
        <w:rPr>
          <w:sz w:val="22"/>
          <w:szCs w:val="22"/>
        </w:rPr>
        <w:lastRenderedPageBreak/>
        <w:t> </w:t>
      </w:r>
      <w:r w:rsidRPr="003017B4">
        <w:rPr>
          <w:b/>
          <w:i/>
          <w:sz w:val="22"/>
          <w:szCs w:val="22"/>
        </w:rPr>
        <w:t>La réalisation d’une auscultation caméra sur les huit (8) forages pour s’assurer de leur équipement dans les règles de l’art ;</w:t>
      </w:r>
    </w:p>
    <w:p w:rsidR="00A04389" w:rsidRDefault="00A04389" w:rsidP="003017B4">
      <w:pPr>
        <w:numPr>
          <w:ilvl w:val="0"/>
          <w:numId w:val="2"/>
        </w:numPr>
        <w:suppressAutoHyphens w:val="0"/>
        <w:overflowPunct/>
        <w:autoSpaceDE/>
        <w:adjustRightInd/>
        <w:textAlignment w:val="auto"/>
        <w:rPr>
          <w:b/>
          <w:i/>
          <w:sz w:val="22"/>
          <w:szCs w:val="22"/>
        </w:rPr>
      </w:pPr>
      <w:r w:rsidRPr="003017B4">
        <w:rPr>
          <w:b/>
          <w:i/>
          <w:sz w:val="22"/>
          <w:szCs w:val="22"/>
        </w:rPr>
        <w:t>La fermeture des forages avec un capot métallique cadenassé.</w:t>
      </w:r>
    </w:p>
    <w:p w:rsidR="003017B4" w:rsidRPr="003017B4" w:rsidRDefault="003017B4" w:rsidP="003017B4">
      <w:pPr>
        <w:suppressAutoHyphens w:val="0"/>
        <w:overflowPunct/>
        <w:autoSpaceDE/>
        <w:adjustRightInd/>
        <w:textAlignment w:val="auto"/>
        <w:rPr>
          <w:b/>
          <w:sz w:val="22"/>
          <w:szCs w:val="22"/>
        </w:rPr>
      </w:pPr>
    </w:p>
    <w:p w:rsidR="00A04389" w:rsidRPr="003017B4" w:rsidRDefault="00A04389" w:rsidP="003017B4">
      <w:pPr>
        <w:suppressAutoHyphens w:val="0"/>
        <w:overflowPunct/>
        <w:autoSpaceDE/>
        <w:adjustRightInd/>
        <w:ind w:left="709" w:firstLine="11"/>
        <w:rPr>
          <w:sz w:val="22"/>
          <w:szCs w:val="22"/>
        </w:rPr>
      </w:pPr>
      <w:r w:rsidRPr="003017B4">
        <w:rPr>
          <w:sz w:val="22"/>
          <w:szCs w:val="22"/>
        </w:rPr>
        <w:t>L’ensemble des prestations est constitué en un lot unique comme suit :</w:t>
      </w:r>
    </w:p>
    <w:p w:rsidR="00727147" w:rsidRPr="003017B4" w:rsidRDefault="00727147" w:rsidP="003017B4">
      <w:pPr>
        <w:suppressAutoHyphens w:val="0"/>
        <w:overflowPunct/>
        <w:autoSpaceDE/>
        <w:adjustRightInd/>
        <w:ind w:left="709" w:firstLine="11"/>
        <w:rPr>
          <w:sz w:val="22"/>
          <w:szCs w:val="22"/>
        </w:rPr>
      </w:pPr>
    </w:p>
    <w:p w:rsidR="00A04389" w:rsidRPr="003017B4" w:rsidRDefault="00A04389" w:rsidP="003017B4">
      <w:pPr>
        <w:pStyle w:val="Paragraphedeliste"/>
        <w:widowControl w:val="0"/>
        <w:rPr>
          <w:b/>
          <w:sz w:val="22"/>
          <w:szCs w:val="22"/>
          <w:u w:val="single"/>
        </w:rPr>
      </w:pPr>
      <w:r w:rsidRPr="003017B4">
        <w:rPr>
          <w:b/>
          <w:sz w:val="22"/>
          <w:szCs w:val="22"/>
          <w:u w:val="single"/>
        </w:rPr>
        <w:t>Adéta</w:t>
      </w:r>
    </w:p>
    <w:p w:rsidR="00A04389" w:rsidRPr="003017B4" w:rsidRDefault="00A04389" w:rsidP="003017B4">
      <w:pPr>
        <w:pStyle w:val="Paragraphedeliste"/>
        <w:widowControl w:val="0"/>
        <w:rPr>
          <w:b/>
          <w:sz w:val="22"/>
          <w:szCs w:val="22"/>
        </w:rPr>
      </w:pPr>
    </w:p>
    <w:p w:rsidR="00A04389" w:rsidRPr="003017B4" w:rsidRDefault="00A04389" w:rsidP="003017B4">
      <w:pPr>
        <w:pStyle w:val="Paragraphedeliste"/>
        <w:numPr>
          <w:ilvl w:val="0"/>
          <w:numId w:val="3"/>
        </w:numPr>
        <w:suppressAutoHyphens w:val="0"/>
        <w:overflowPunct/>
        <w:autoSpaceDE/>
        <w:adjustRightInd/>
        <w:ind w:left="1276" w:hanging="425"/>
        <w:textAlignment w:val="auto"/>
        <w:rPr>
          <w:b/>
          <w:sz w:val="22"/>
          <w:szCs w:val="22"/>
        </w:rPr>
      </w:pPr>
      <w:r w:rsidRPr="003017B4">
        <w:rPr>
          <w:b/>
          <w:sz w:val="22"/>
          <w:szCs w:val="22"/>
        </w:rPr>
        <w:t>Soufflage et essais de pompage par paliers et de longue durée pour confirmation de débit d’un forage existant et réalisation d’étude de prospection géophysique pour la réalisation d’un nouveau forage positif à gros débit (débit d’exploitation ≥ 10 m</w:t>
      </w:r>
      <w:r w:rsidRPr="003017B4">
        <w:rPr>
          <w:b/>
          <w:sz w:val="22"/>
          <w:szCs w:val="22"/>
          <w:vertAlign w:val="superscript"/>
        </w:rPr>
        <w:t>3</w:t>
      </w:r>
      <w:r w:rsidRPr="003017B4">
        <w:rPr>
          <w:b/>
          <w:sz w:val="22"/>
          <w:szCs w:val="22"/>
        </w:rPr>
        <w:t>/h) y compris son équipement à Adéta dans la région des Plateaux.</w:t>
      </w:r>
    </w:p>
    <w:p w:rsidR="00A04389" w:rsidRPr="003017B4" w:rsidRDefault="00A04389" w:rsidP="003017B4">
      <w:pPr>
        <w:pStyle w:val="Paragraphedeliste"/>
        <w:widowControl w:val="0"/>
        <w:rPr>
          <w:b/>
          <w:sz w:val="22"/>
          <w:szCs w:val="22"/>
          <w:u w:val="single"/>
        </w:rPr>
      </w:pPr>
    </w:p>
    <w:p w:rsidR="00A04389" w:rsidRPr="003017B4" w:rsidRDefault="00A04389" w:rsidP="003017B4">
      <w:pPr>
        <w:pStyle w:val="Paragraphedeliste"/>
        <w:widowControl w:val="0"/>
        <w:rPr>
          <w:b/>
          <w:sz w:val="22"/>
          <w:szCs w:val="22"/>
          <w:u w:val="single"/>
        </w:rPr>
      </w:pPr>
      <w:r w:rsidRPr="003017B4">
        <w:rPr>
          <w:b/>
          <w:sz w:val="22"/>
          <w:szCs w:val="22"/>
          <w:u w:val="single"/>
        </w:rPr>
        <w:t>Afagnan</w:t>
      </w:r>
    </w:p>
    <w:p w:rsidR="00A04389" w:rsidRPr="003017B4" w:rsidRDefault="00A04389" w:rsidP="003017B4">
      <w:pPr>
        <w:pStyle w:val="Paragraphedeliste"/>
        <w:widowControl w:val="0"/>
        <w:rPr>
          <w:b/>
          <w:sz w:val="22"/>
          <w:szCs w:val="22"/>
          <w:u w:val="single"/>
        </w:rPr>
      </w:pPr>
    </w:p>
    <w:p w:rsidR="00A04389" w:rsidRPr="003017B4" w:rsidRDefault="00A04389" w:rsidP="003017B4">
      <w:pPr>
        <w:pStyle w:val="Paragraphedeliste"/>
        <w:numPr>
          <w:ilvl w:val="0"/>
          <w:numId w:val="3"/>
        </w:numPr>
        <w:suppressAutoHyphens w:val="0"/>
        <w:overflowPunct/>
        <w:autoSpaceDE/>
        <w:adjustRightInd/>
        <w:ind w:left="1276" w:hanging="425"/>
        <w:textAlignment w:val="auto"/>
        <w:rPr>
          <w:b/>
          <w:sz w:val="22"/>
          <w:szCs w:val="22"/>
          <w:u w:val="single"/>
        </w:rPr>
      </w:pPr>
      <w:r w:rsidRPr="003017B4">
        <w:rPr>
          <w:b/>
          <w:sz w:val="22"/>
          <w:szCs w:val="22"/>
        </w:rPr>
        <w:t>Réalisation d’un forage profond avec un télescopage (débit d’exploitation ≥ 80 m</w:t>
      </w:r>
      <w:r w:rsidRPr="003017B4">
        <w:rPr>
          <w:b/>
          <w:sz w:val="22"/>
          <w:szCs w:val="22"/>
          <w:vertAlign w:val="superscript"/>
        </w:rPr>
        <w:t>3</w:t>
      </w:r>
      <w:r w:rsidRPr="003017B4">
        <w:rPr>
          <w:b/>
          <w:sz w:val="22"/>
          <w:szCs w:val="22"/>
        </w:rPr>
        <w:t>/h) y compris son équipement à Afagnan dans la région Maritime.</w:t>
      </w:r>
    </w:p>
    <w:p w:rsidR="00A04389" w:rsidRPr="003017B4" w:rsidRDefault="00A04389" w:rsidP="003017B4">
      <w:pPr>
        <w:pStyle w:val="Paragraphedeliste"/>
        <w:ind w:left="1276"/>
        <w:rPr>
          <w:b/>
          <w:sz w:val="22"/>
          <w:szCs w:val="22"/>
        </w:rPr>
      </w:pPr>
    </w:p>
    <w:p w:rsidR="00A04389" w:rsidRPr="003017B4" w:rsidRDefault="00A04389" w:rsidP="003017B4">
      <w:pPr>
        <w:pStyle w:val="Paragraphedeliste"/>
        <w:widowControl w:val="0"/>
        <w:rPr>
          <w:b/>
          <w:sz w:val="22"/>
          <w:szCs w:val="22"/>
          <w:u w:val="single"/>
        </w:rPr>
      </w:pPr>
      <w:r w:rsidRPr="003017B4">
        <w:rPr>
          <w:b/>
          <w:sz w:val="22"/>
          <w:szCs w:val="22"/>
          <w:u w:val="single"/>
        </w:rPr>
        <w:t>Djarkpanga</w:t>
      </w:r>
    </w:p>
    <w:p w:rsidR="00A04389" w:rsidRPr="003017B4" w:rsidRDefault="00A04389" w:rsidP="003017B4">
      <w:pPr>
        <w:pStyle w:val="Paragraphedeliste"/>
        <w:widowControl w:val="0"/>
        <w:rPr>
          <w:b/>
          <w:sz w:val="22"/>
          <w:szCs w:val="22"/>
          <w:u w:val="single"/>
        </w:rPr>
      </w:pPr>
    </w:p>
    <w:p w:rsidR="00A04389" w:rsidRPr="003017B4" w:rsidRDefault="00A04389" w:rsidP="003017B4">
      <w:pPr>
        <w:pStyle w:val="Paragraphedeliste"/>
        <w:numPr>
          <w:ilvl w:val="0"/>
          <w:numId w:val="3"/>
        </w:numPr>
        <w:suppressAutoHyphens w:val="0"/>
        <w:overflowPunct/>
        <w:autoSpaceDE/>
        <w:adjustRightInd/>
        <w:ind w:left="1276" w:hanging="425"/>
        <w:textAlignment w:val="auto"/>
        <w:rPr>
          <w:sz w:val="22"/>
          <w:szCs w:val="22"/>
        </w:rPr>
      </w:pPr>
      <w:r w:rsidRPr="003017B4">
        <w:rPr>
          <w:b/>
          <w:sz w:val="22"/>
          <w:szCs w:val="22"/>
        </w:rPr>
        <w:t>Réalisation de cinq (5) forages positifs à gros débit (débit d’exploitation par forage ≥ 10 m</w:t>
      </w:r>
      <w:r w:rsidRPr="003017B4">
        <w:rPr>
          <w:b/>
          <w:sz w:val="22"/>
          <w:szCs w:val="22"/>
          <w:vertAlign w:val="superscript"/>
        </w:rPr>
        <w:t>3</w:t>
      </w:r>
      <w:r w:rsidRPr="003017B4">
        <w:rPr>
          <w:b/>
          <w:sz w:val="22"/>
          <w:szCs w:val="22"/>
        </w:rPr>
        <w:t xml:space="preserve">/h) y compris leur équipement à Djarkpanga dans la région de la Kara. </w:t>
      </w:r>
    </w:p>
    <w:p w:rsidR="00A04389" w:rsidRPr="003017B4" w:rsidRDefault="00A04389" w:rsidP="003017B4">
      <w:pPr>
        <w:pStyle w:val="Paragraphedeliste"/>
        <w:suppressAutoHyphens w:val="0"/>
        <w:overflowPunct/>
        <w:autoSpaceDE/>
        <w:adjustRightInd/>
        <w:ind w:left="1276"/>
        <w:textAlignment w:val="auto"/>
        <w:rPr>
          <w:sz w:val="22"/>
          <w:szCs w:val="22"/>
        </w:rPr>
      </w:pPr>
    </w:p>
    <w:p w:rsidR="00A04389" w:rsidRPr="003017B4" w:rsidRDefault="00A04389" w:rsidP="003017B4">
      <w:pPr>
        <w:pStyle w:val="Paragraphedeliste"/>
        <w:widowControl w:val="0"/>
        <w:rPr>
          <w:b/>
          <w:sz w:val="22"/>
          <w:szCs w:val="22"/>
          <w:u w:val="single"/>
        </w:rPr>
      </w:pPr>
      <w:r w:rsidRPr="003017B4">
        <w:rPr>
          <w:sz w:val="22"/>
          <w:szCs w:val="22"/>
        </w:rPr>
        <w:t xml:space="preserve"> </w:t>
      </w:r>
      <w:r w:rsidRPr="003017B4">
        <w:rPr>
          <w:b/>
          <w:sz w:val="22"/>
          <w:szCs w:val="22"/>
          <w:u w:val="single"/>
        </w:rPr>
        <w:t>Kougnohou</w:t>
      </w:r>
    </w:p>
    <w:p w:rsidR="00A04389" w:rsidRPr="003017B4" w:rsidRDefault="00A04389" w:rsidP="003017B4">
      <w:pPr>
        <w:pStyle w:val="Paragraphedeliste"/>
        <w:widowControl w:val="0"/>
        <w:rPr>
          <w:b/>
          <w:sz w:val="22"/>
          <w:szCs w:val="22"/>
          <w:u w:val="single"/>
        </w:rPr>
      </w:pPr>
    </w:p>
    <w:p w:rsidR="00A04389" w:rsidRPr="003017B4" w:rsidRDefault="00A04389" w:rsidP="003017B4">
      <w:pPr>
        <w:pStyle w:val="Paragraphedeliste"/>
        <w:numPr>
          <w:ilvl w:val="0"/>
          <w:numId w:val="3"/>
        </w:numPr>
        <w:suppressAutoHyphens w:val="0"/>
        <w:overflowPunct/>
        <w:autoSpaceDE/>
        <w:adjustRightInd/>
        <w:ind w:left="1440"/>
        <w:textAlignment w:val="auto"/>
        <w:rPr>
          <w:b/>
          <w:sz w:val="22"/>
          <w:szCs w:val="22"/>
        </w:rPr>
      </w:pPr>
      <w:r w:rsidRPr="003017B4">
        <w:rPr>
          <w:b/>
          <w:sz w:val="22"/>
          <w:szCs w:val="22"/>
        </w:rPr>
        <w:t>Réalisation d’un forage positif à gros débit y compris son équipement (débit d’exploitation ≥ 10 m</w:t>
      </w:r>
      <w:r w:rsidRPr="003017B4">
        <w:rPr>
          <w:b/>
          <w:sz w:val="22"/>
          <w:szCs w:val="22"/>
          <w:vertAlign w:val="superscript"/>
        </w:rPr>
        <w:t>3</w:t>
      </w:r>
      <w:r w:rsidRPr="003017B4">
        <w:rPr>
          <w:b/>
          <w:sz w:val="22"/>
          <w:szCs w:val="22"/>
        </w:rPr>
        <w:t xml:space="preserve">/h) à Kougnohou dans la région des Plateaux. </w:t>
      </w:r>
    </w:p>
    <w:p w:rsidR="00A04389" w:rsidRPr="003017B4" w:rsidRDefault="00A04389" w:rsidP="003017B4">
      <w:pPr>
        <w:pStyle w:val="Paragraphedeliste"/>
        <w:rPr>
          <w:b/>
          <w:sz w:val="22"/>
          <w:szCs w:val="22"/>
        </w:rPr>
      </w:pPr>
    </w:p>
    <w:p w:rsidR="00A04389" w:rsidRDefault="00A04389" w:rsidP="003017B4">
      <w:pPr>
        <w:pStyle w:val="Paragraphedeliste"/>
        <w:rPr>
          <w:b/>
          <w:sz w:val="22"/>
          <w:szCs w:val="22"/>
        </w:rPr>
      </w:pPr>
      <w:r w:rsidRPr="003017B4">
        <w:rPr>
          <w:b/>
          <w:sz w:val="22"/>
          <w:szCs w:val="22"/>
          <w:u w:val="single"/>
        </w:rPr>
        <w:t>N.B</w:t>
      </w:r>
      <w:r w:rsidRPr="003017B4">
        <w:rPr>
          <w:b/>
          <w:sz w:val="22"/>
          <w:szCs w:val="22"/>
        </w:rPr>
        <w:t xml:space="preserve"> : </w:t>
      </w:r>
      <w:r w:rsidRPr="003017B4">
        <w:rPr>
          <w:b/>
          <w:sz w:val="22"/>
          <w:szCs w:val="22"/>
        </w:rPr>
        <w:tab/>
      </w:r>
    </w:p>
    <w:p w:rsidR="00D6571C" w:rsidRPr="003017B4" w:rsidRDefault="00D6571C" w:rsidP="003017B4">
      <w:pPr>
        <w:pStyle w:val="Paragraphedeliste"/>
        <w:rPr>
          <w:b/>
          <w:sz w:val="22"/>
          <w:szCs w:val="22"/>
        </w:rPr>
      </w:pPr>
    </w:p>
    <w:p w:rsidR="00A04389" w:rsidRDefault="00A04389" w:rsidP="003017B4">
      <w:pPr>
        <w:pStyle w:val="Paragraphedeliste"/>
        <w:numPr>
          <w:ilvl w:val="0"/>
          <w:numId w:val="4"/>
        </w:numPr>
        <w:suppressAutoHyphens w:val="0"/>
        <w:overflowPunct/>
        <w:autoSpaceDE/>
        <w:adjustRightInd/>
        <w:ind w:left="1418" w:hanging="567"/>
        <w:textAlignment w:val="auto"/>
        <w:rPr>
          <w:rFonts w:eastAsia="Calibri"/>
          <w:b/>
          <w:sz w:val="22"/>
          <w:szCs w:val="22"/>
          <w:lang w:eastAsia="en-US"/>
        </w:rPr>
      </w:pPr>
      <w:r w:rsidRPr="003017B4">
        <w:rPr>
          <w:rFonts w:eastAsia="Calibri"/>
          <w:b/>
          <w:sz w:val="22"/>
          <w:szCs w:val="22"/>
          <w:lang w:eastAsia="en-US"/>
        </w:rPr>
        <w:t>Le délai d’exécution des travaux effectifs est de trois (03) mois. Ce délai ne tient pas compte de la suspension des travaux pendant la saison des pluies variable selon les régions.</w:t>
      </w:r>
    </w:p>
    <w:p w:rsidR="003017B4" w:rsidRPr="003017B4" w:rsidRDefault="003017B4" w:rsidP="003017B4">
      <w:pPr>
        <w:suppressAutoHyphens w:val="0"/>
        <w:overflowPunct/>
        <w:autoSpaceDE/>
        <w:adjustRightInd/>
        <w:textAlignment w:val="auto"/>
        <w:rPr>
          <w:rFonts w:eastAsia="Calibri"/>
          <w:b/>
          <w:sz w:val="22"/>
          <w:szCs w:val="22"/>
          <w:lang w:eastAsia="en-US"/>
        </w:rPr>
      </w:pPr>
    </w:p>
    <w:p w:rsidR="00A04389" w:rsidRPr="00D6571C" w:rsidRDefault="00A04389" w:rsidP="00D6571C">
      <w:pPr>
        <w:suppressAutoHyphens w:val="0"/>
        <w:overflowPunct/>
        <w:autoSpaceDE/>
        <w:adjustRightInd/>
        <w:textAlignment w:val="auto"/>
        <w:rPr>
          <w:b/>
          <w:sz w:val="22"/>
          <w:szCs w:val="22"/>
        </w:rPr>
      </w:pPr>
      <w:r w:rsidRPr="00D6571C">
        <w:rPr>
          <w:rFonts w:eastAsia="Calibri"/>
          <w:b/>
          <w:sz w:val="22"/>
          <w:szCs w:val="22"/>
          <w:lang w:eastAsia="en-US"/>
        </w:rPr>
        <w:t xml:space="preserve">Les variantes ne sont pas autorisées. </w:t>
      </w:r>
    </w:p>
    <w:p w:rsidR="00A04389" w:rsidRPr="003017B4" w:rsidRDefault="00A04389" w:rsidP="003017B4">
      <w:pPr>
        <w:rPr>
          <w:b/>
          <w:sz w:val="22"/>
          <w:szCs w:val="22"/>
        </w:rPr>
      </w:pPr>
    </w:p>
    <w:p w:rsidR="00A04389" w:rsidRPr="003017B4" w:rsidRDefault="00A04389" w:rsidP="003017B4">
      <w:pPr>
        <w:numPr>
          <w:ilvl w:val="0"/>
          <w:numId w:val="1"/>
        </w:numPr>
        <w:suppressAutoHyphens w:val="0"/>
        <w:overflowPunct/>
        <w:autoSpaceDE/>
        <w:adjustRightInd/>
        <w:textAlignment w:val="auto"/>
        <w:rPr>
          <w:sz w:val="22"/>
          <w:szCs w:val="22"/>
        </w:rPr>
      </w:pPr>
      <w:r w:rsidRPr="003017B4">
        <w:rPr>
          <w:sz w:val="22"/>
          <w:szCs w:val="22"/>
        </w:rPr>
        <w:t>La procédure d’appel d’offres sera l'Appel d’Offres national réservé aux Pays Membres de la IsDB (AON/PM)] tel que défini dans les Directives pour l’acquisition de Biens, Travaux et Services connexes dans le cadre de Projets financés par la IsDB, Septembre 2018, (les « Directives »), et ouverte à tous les soumissionnaires de pays éligibles tels que définis dans les Directives. Les candidats éventuels sont également invités à prendre connaissance des Clauses 1.18 à 1.21 de ces Directives concernant les règles de la IsDB portant sur les conflits d’intérêt.</w:t>
      </w:r>
    </w:p>
    <w:p w:rsidR="00A04389" w:rsidRPr="003017B4" w:rsidRDefault="00A04389" w:rsidP="003017B4">
      <w:pPr>
        <w:suppressAutoHyphens w:val="0"/>
        <w:overflowPunct/>
        <w:autoSpaceDE/>
        <w:adjustRightInd/>
        <w:ind w:left="1440"/>
        <w:rPr>
          <w:sz w:val="22"/>
          <w:szCs w:val="22"/>
        </w:rPr>
      </w:pPr>
    </w:p>
    <w:p w:rsidR="00A04389" w:rsidRPr="003017B4" w:rsidRDefault="00A04389" w:rsidP="003017B4">
      <w:pPr>
        <w:numPr>
          <w:ilvl w:val="0"/>
          <w:numId w:val="1"/>
        </w:numPr>
        <w:suppressAutoHyphens w:val="0"/>
        <w:overflowPunct/>
        <w:autoSpaceDE/>
        <w:adjustRightInd/>
        <w:ind w:left="714" w:hanging="357"/>
        <w:textAlignment w:val="auto"/>
        <w:rPr>
          <w:sz w:val="22"/>
          <w:szCs w:val="22"/>
        </w:rPr>
      </w:pPr>
      <w:r w:rsidRPr="003017B4">
        <w:rPr>
          <w:sz w:val="22"/>
          <w:szCs w:val="22"/>
        </w:rPr>
        <w:t xml:space="preserve">Pour toutes informations complémentaires, s’adresser </w:t>
      </w:r>
      <w:r w:rsidRPr="003017B4">
        <w:rPr>
          <w:noProof/>
          <w:sz w:val="22"/>
          <w:szCs w:val="22"/>
        </w:rPr>
        <w:t xml:space="preserve">au secrétariat de </w:t>
      </w:r>
      <w:r w:rsidRPr="003017B4">
        <w:rPr>
          <w:b/>
          <w:noProof/>
          <w:sz w:val="22"/>
          <w:szCs w:val="22"/>
        </w:rPr>
        <w:t>la Personne Responsable des Marchés Publics</w:t>
      </w:r>
      <w:r w:rsidRPr="003017B4">
        <w:rPr>
          <w:noProof/>
          <w:sz w:val="22"/>
          <w:szCs w:val="22"/>
        </w:rPr>
        <w:t xml:space="preserve"> du </w:t>
      </w:r>
      <w:r w:rsidRPr="003017B4">
        <w:rPr>
          <w:b/>
          <w:noProof/>
          <w:sz w:val="22"/>
          <w:szCs w:val="22"/>
        </w:rPr>
        <w:t>Ministère de l’Eau et de l’Hydraulique Villageoise</w:t>
      </w:r>
      <w:r w:rsidRPr="003017B4">
        <w:rPr>
          <w:noProof/>
          <w:sz w:val="22"/>
          <w:szCs w:val="22"/>
        </w:rPr>
        <w:t xml:space="preserve">, </w:t>
      </w:r>
      <w:r w:rsidRPr="003017B4">
        <w:rPr>
          <w:sz w:val="22"/>
          <w:szCs w:val="22"/>
        </w:rPr>
        <w:t>et prendre connaissance des documents d’Appel d’offres à l’adresse mentionnée ci-après :</w:t>
      </w:r>
      <w:r w:rsidRPr="003017B4">
        <w:rPr>
          <w:b/>
          <w:sz w:val="22"/>
          <w:szCs w:val="22"/>
        </w:rPr>
        <w:t xml:space="preserve"> </w:t>
      </w:r>
    </w:p>
    <w:p w:rsidR="00A04389" w:rsidRPr="003017B4" w:rsidRDefault="00A04389" w:rsidP="003017B4">
      <w:pPr>
        <w:keepNext/>
        <w:tabs>
          <w:tab w:val="left" w:pos="720"/>
          <w:tab w:val="left" w:pos="1440"/>
          <w:tab w:val="right" w:leader="dot" w:pos="8640"/>
        </w:tabs>
        <w:ind w:left="360"/>
        <w:rPr>
          <w:b/>
          <w:i/>
          <w:sz w:val="22"/>
          <w:szCs w:val="22"/>
        </w:rPr>
      </w:pPr>
      <w:r w:rsidRPr="003017B4">
        <w:rPr>
          <w:b/>
          <w:i/>
          <w:sz w:val="22"/>
          <w:szCs w:val="22"/>
        </w:rPr>
        <w:t xml:space="preserve">Immeuble des 4 ministères, côté Est, Secrétariat de la Personne responsable des marchés publics, Tél : (228) 90 24 42 25 / 90 06 70 26, Fax : (228) 22 20 81 12, E-mail : </w:t>
      </w:r>
      <w:hyperlink r:id="rId9" w:history="1">
        <w:r w:rsidRPr="003017B4">
          <w:rPr>
            <w:rStyle w:val="Lienhypertexte"/>
            <w:b/>
            <w:i/>
            <w:color w:val="auto"/>
            <w:sz w:val="22"/>
            <w:szCs w:val="22"/>
            <w:u w:val="none"/>
          </w:rPr>
          <w:t>prmpmehv@yahoo.com</w:t>
        </w:r>
      </w:hyperlink>
    </w:p>
    <w:p w:rsidR="00A04389" w:rsidRPr="003017B4" w:rsidRDefault="00A04389" w:rsidP="003017B4">
      <w:pPr>
        <w:suppressAutoHyphens w:val="0"/>
        <w:overflowPunct/>
        <w:autoSpaceDE/>
        <w:adjustRightInd/>
        <w:ind w:left="720"/>
        <w:rPr>
          <w:sz w:val="22"/>
          <w:szCs w:val="22"/>
        </w:rPr>
      </w:pPr>
    </w:p>
    <w:p w:rsidR="00A04389" w:rsidRPr="003017B4" w:rsidRDefault="00A04389" w:rsidP="003017B4">
      <w:pPr>
        <w:numPr>
          <w:ilvl w:val="0"/>
          <w:numId w:val="1"/>
        </w:numPr>
        <w:suppressAutoHyphens w:val="0"/>
        <w:overflowPunct/>
        <w:autoSpaceDE/>
        <w:adjustRightInd/>
        <w:textAlignment w:val="auto"/>
        <w:rPr>
          <w:sz w:val="22"/>
          <w:szCs w:val="22"/>
        </w:rPr>
      </w:pPr>
      <w:r w:rsidRPr="003017B4">
        <w:rPr>
          <w:sz w:val="22"/>
          <w:szCs w:val="22"/>
        </w:rPr>
        <w:t xml:space="preserve">Les exigences en matière de qualifications sont : </w:t>
      </w:r>
    </w:p>
    <w:p w:rsidR="00A04389" w:rsidRPr="003017B4" w:rsidRDefault="00A04389" w:rsidP="003017B4">
      <w:pPr>
        <w:suppressAutoHyphens w:val="0"/>
        <w:overflowPunct/>
        <w:autoSpaceDE/>
        <w:adjustRightInd/>
        <w:ind w:left="1140"/>
        <w:rPr>
          <w:sz w:val="22"/>
          <w:szCs w:val="22"/>
        </w:rPr>
      </w:pPr>
    </w:p>
    <w:p w:rsidR="00A04389" w:rsidRPr="003017B4" w:rsidRDefault="00A04389" w:rsidP="003017B4">
      <w:pPr>
        <w:numPr>
          <w:ilvl w:val="0"/>
          <w:numId w:val="5"/>
        </w:numPr>
        <w:suppressAutoHyphens w:val="0"/>
        <w:overflowPunct/>
        <w:autoSpaceDE/>
        <w:adjustRightInd/>
        <w:textAlignment w:val="auto"/>
        <w:rPr>
          <w:sz w:val="22"/>
          <w:szCs w:val="22"/>
        </w:rPr>
      </w:pPr>
      <w:r w:rsidRPr="003017B4">
        <w:rPr>
          <w:sz w:val="22"/>
          <w:szCs w:val="22"/>
        </w:rPr>
        <w:t>Être en règle avec l’administration publique en présentant dans l’offre des pièces administratives indiquées au point 11.1 des données particulières de l’appel d’offres (DPAO) ;</w:t>
      </w:r>
    </w:p>
    <w:p w:rsidR="00A04389" w:rsidRPr="003017B4" w:rsidRDefault="00A04389" w:rsidP="003017B4">
      <w:pPr>
        <w:suppressAutoHyphens w:val="0"/>
        <w:overflowPunct/>
        <w:autoSpaceDE/>
        <w:adjustRightInd/>
        <w:ind w:left="1440"/>
        <w:rPr>
          <w:sz w:val="22"/>
          <w:szCs w:val="22"/>
        </w:rPr>
      </w:pPr>
    </w:p>
    <w:p w:rsidR="00A04389" w:rsidRPr="003017B4" w:rsidRDefault="00A04389" w:rsidP="003017B4">
      <w:pPr>
        <w:numPr>
          <w:ilvl w:val="0"/>
          <w:numId w:val="5"/>
        </w:numPr>
        <w:suppressAutoHyphens w:val="0"/>
        <w:overflowPunct/>
        <w:autoSpaceDE/>
        <w:adjustRightInd/>
        <w:textAlignment w:val="auto"/>
        <w:rPr>
          <w:sz w:val="22"/>
          <w:szCs w:val="22"/>
        </w:rPr>
      </w:pPr>
      <w:r w:rsidRPr="003017B4">
        <w:rPr>
          <w:sz w:val="22"/>
          <w:szCs w:val="22"/>
        </w:rPr>
        <w:t>Soumission de bilans vérifiés et certifiés ou, si cela n’est pas requis par la réglementation du pays du candidat, autres états financiers acceptables par l’Autorité contractante pour les trois (03) dernières années (</w:t>
      </w:r>
      <w:r w:rsidRPr="003017B4">
        <w:rPr>
          <w:b/>
          <w:sz w:val="22"/>
          <w:szCs w:val="22"/>
        </w:rPr>
        <w:t>2019, 2020 et 2021</w:t>
      </w:r>
      <w:r w:rsidRPr="003017B4">
        <w:rPr>
          <w:sz w:val="22"/>
          <w:szCs w:val="22"/>
        </w:rPr>
        <w:t>) démontrant la solidité actuelle de la position financière du candidat et sa profitabilité à long terme ;</w:t>
      </w:r>
    </w:p>
    <w:p w:rsidR="00A04389" w:rsidRPr="003017B4" w:rsidRDefault="00A04389" w:rsidP="003017B4">
      <w:pPr>
        <w:suppressAutoHyphens w:val="0"/>
        <w:overflowPunct/>
        <w:autoSpaceDE/>
        <w:adjustRightInd/>
        <w:rPr>
          <w:sz w:val="22"/>
          <w:szCs w:val="22"/>
        </w:rPr>
      </w:pPr>
    </w:p>
    <w:p w:rsidR="00A04389" w:rsidRPr="003017B4" w:rsidRDefault="00A04389" w:rsidP="003017B4">
      <w:pPr>
        <w:numPr>
          <w:ilvl w:val="0"/>
          <w:numId w:val="5"/>
        </w:numPr>
        <w:suppressAutoHyphens w:val="0"/>
        <w:overflowPunct/>
        <w:autoSpaceDE/>
        <w:adjustRightInd/>
        <w:textAlignment w:val="auto"/>
        <w:rPr>
          <w:sz w:val="22"/>
          <w:szCs w:val="22"/>
        </w:rPr>
      </w:pPr>
      <w:r w:rsidRPr="003017B4">
        <w:rPr>
          <w:sz w:val="22"/>
          <w:szCs w:val="22"/>
        </w:rPr>
        <w:t>Avoir réalisé une moyenne de chiffres d’affaires supérieure ou égale à 0,5 fois le montant de son offre HT durant les trois (03) dernières années (</w:t>
      </w:r>
      <w:r w:rsidRPr="00D6571C">
        <w:rPr>
          <w:b/>
          <w:sz w:val="22"/>
          <w:szCs w:val="22"/>
        </w:rPr>
        <w:t>2019 ; 2020 et 2021</w:t>
      </w:r>
      <w:r w:rsidRPr="003017B4">
        <w:rPr>
          <w:sz w:val="22"/>
          <w:szCs w:val="22"/>
        </w:rPr>
        <w:t>) ;</w:t>
      </w:r>
    </w:p>
    <w:p w:rsidR="00A04389" w:rsidRPr="003017B4" w:rsidRDefault="00A04389" w:rsidP="003017B4">
      <w:pPr>
        <w:suppressAutoHyphens w:val="0"/>
        <w:overflowPunct/>
        <w:autoSpaceDE/>
        <w:adjustRightInd/>
        <w:rPr>
          <w:sz w:val="22"/>
          <w:szCs w:val="22"/>
        </w:rPr>
      </w:pPr>
    </w:p>
    <w:p w:rsidR="00A04389" w:rsidRPr="003017B4" w:rsidRDefault="00A04389" w:rsidP="003017B4">
      <w:pPr>
        <w:numPr>
          <w:ilvl w:val="0"/>
          <w:numId w:val="5"/>
        </w:numPr>
        <w:suppressAutoHyphens w:val="0"/>
        <w:overflowPunct/>
        <w:autoSpaceDE/>
        <w:adjustRightInd/>
        <w:textAlignment w:val="auto"/>
        <w:rPr>
          <w:sz w:val="22"/>
          <w:szCs w:val="22"/>
        </w:rPr>
      </w:pPr>
      <w:r w:rsidRPr="003017B4">
        <w:rPr>
          <w:sz w:val="22"/>
          <w:szCs w:val="22"/>
        </w:rPr>
        <w:t>Disposer d’une preuve de facilité de crédit bancaire ou de liquidité d’un montant au moins égal à 35% du montant TTC de l’offre ;</w:t>
      </w:r>
    </w:p>
    <w:p w:rsidR="00A04389" w:rsidRPr="003017B4" w:rsidRDefault="00A04389" w:rsidP="003017B4">
      <w:pPr>
        <w:pStyle w:val="Paragraphedeliste"/>
        <w:rPr>
          <w:sz w:val="22"/>
          <w:szCs w:val="22"/>
        </w:rPr>
      </w:pPr>
    </w:p>
    <w:p w:rsidR="00A04389" w:rsidRPr="003017B4" w:rsidRDefault="00A04389" w:rsidP="003017B4">
      <w:pPr>
        <w:numPr>
          <w:ilvl w:val="0"/>
          <w:numId w:val="5"/>
        </w:numPr>
        <w:suppressAutoHyphens w:val="0"/>
        <w:overflowPunct/>
        <w:autoSpaceDE/>
        <w:adjustRightInd/>
        <w:textAlignment w:val="auto"/>
        <w:rPr>
          <w:sz w:val="22"/>
          <w:szCs w:val="22"/>
        </w:rPr>
      </w:pPr>
      <w:r w:rsidRPr="003017B4">
        <w:rPr>
          <w:sz w:val="22"/>
          <w:szCs w:val="22"/>
        </w:rPr>
        <w:t>Disposer d’au moins 02 expériences de marchés de construction à titre d’entrepreneur, de sous-traitant ou d’ensemblier au cours des cinq (5) dernières années à partir du 1er janvier de l’année 2017</w:t>
      </w:r>
    </w:p>
    <w:p w:rsidR="00A04389" w:rsidRPr="003017B4" w:rsidRDefault="00A04389" w:rsidP="003017B4">
      <w:pPr>
        <w:pStyle w:val="Paragraphedeliste"/>
        <w:rPr>
          <w:sz w:val="22"/>
          <w:szCs w:val="22"/>
        </w:rPr>
      </w:pPr>
    </w:p>
    <w:p w:rsidR="00A04389" w:rsidRPr="003017B4" w:rsidRDefault="00A04389" w:rsidP="003017B4">
      <w:pPr>
        <w:numPr>
          <w:ilvl w:val="0"/>
          <w:numId w:val="5"/>
        </w:numPr>
        <w:suppressAutoHyphens w:val="0"/>
        <w:overflowPunct/>
        <w:autoSpaceDE/>
        <w:adjustRightInd/>
        <w:textAlignment w:val="auto"/>
        <w:rPr>
          <w:sz w:val="22"/>
          <w:szCs w:val="22"/>
        </w:rPr>
      </w:pPr>
      <w:r w:rsidRPr="003017B4">
        <w:rPr>
          <w:sz w:val="22"/>
          <w:szCs w:val="22"/>
        </w:rPr>
        <w:t>Avoir réalisé au cours des trois (03) dernières années (2019, 2020 et 2021), en tant qu’entreprise principal, au moins un (01) marché de réalisation d’au moins cinq (5) forages à gros débit dont au moins un (1) dans le socle et un (01) dans le sédimentaire avec télescopage et d’une valeur minimum égale à 0,5 fois le montant TTC de l’offre du soumissionnaire.</w:t>
      </w:r>
    </w:p>
    <w:p w:rsidR="00A04389" w:rsidRPr="003017B4" w:rsidRDefault="00A04389" w:rsidP="003017B4">
      <w:pPr>
        <w:pStyle w:val="Paragraphedeliste"/>
        <w:rPr>
          <w:sz w:val="22"/>
          <w:szCs w:val="22"/>
        </w:rPr>
      </w:pPr>
    </w:p>
    <w:p w:rsidR="00A04389" w:rsidRPr="003017B4" w:rsidRDefault="00A04389" w:rsidP="003017B4">
      <w:pPr>
        <w:numPr>
          <w:ilvl w:val="0"/>
          <w:numId w:val="6"/>
        </w:numPr>
        <w:suppressAutoHyphens w:val="0"/>
        <w:overflowPunct/>
        <w:autoSpaceDE/>
        <w:adjustRightInd/>
        <w:ind w:left="1418" w:hanging="284"/>
        <w:textAlignment w:val="auto"/>
        <w:rPr>
          <w:sz w:val="22"/>
          <w:szCs w:val="22"/>
        </w:rPr>
      </w:pPr>
      <w:r w:rsidRPr="003017B4">
        <w:rPr>
          <w:sz w:val="22"/>
          <w:szCs w:val="22"/>
        </w:rPr>
        <w:t>Justifier de la disponibilité du matériel minimum nécessaire (preuve de propriété ou de location) et proposer un personnel clé ayant de l’expérience.</w:t>
      </w:r>
    </w:p>
    <w:p w:rsidR="00A04389" w:rsidRPr="003017B4" w:rsidRDefault="00A04389" w:rsidP="003017B4">
      <w:pPr>
        <w:pStyle w:val="Paragraphedeliste"/>
        <w:rPr>
          <w:sz w:val="22"/>
          <w:szCs w:val="22"/>
        </w:rPr>
      </w:pPr>
    </w:p>
    <w:p w:rsidR="00A04389" w:rsidRPr="003017B4" w:rsidRDefault="00A04389" w:rsidP="003017B4">
      <w:pPr>
        <w:suppressAutoHyphens w:val="0"/>
        <w:overflowPunct/>
        <w:autoSpaceDE/>
        <w:adjustRightInd/>
        <w:ind w:left="1077"/>
        <w:rPr>
          <w:b/>
          <w:sz w:val="22"/>
          <w:szCs w:val="22"/>
        </w:rPr>
      </w:pPr>
      <w:r w:rsidRPr="003017B4">
        <w:rPr>
          <w:b/>
          <w:sz w:val="22"/>
          <w:szCs w:val="22"/>
        </w:rPr>
        <w:t>Voir les DPAO pour les informations complémentaires.</w:t>
      </w:r>
    </w:p>
    <w:p w:rsidR="00A04389" w:rsidRPr="003017B4" w:rsidRDefault="00A04389" w:rsidP="003017B4">
      <w:pPr>
        <w:suppressAutoHyphens w:val="0"/>
        <w:overflowPunct/>
        <w:autoSpaceDE/>
        <w:adjustRightInd/>
        <w:rPr>
          <w:i/>
          <w:iCs/>
          <w:sz w:val="22"/>
          <w:szCs w:val="22"/>
        </w:rPr>
      </w:pPr>
    </w:p>
    <w:p w:rsidR="00A04389" w:rsidRPr="003017B4" w:rsidRDefault="00A04389" w:rsidP="003017B4">
      <w:pPr>
        <w:numPr>
          <w:ilvl w:val="0"/>
          <w:numId w:val="1"/>
        </w:numPr>
        <w:suppressAutoHyphens w:val="0"/>
        <w:overflowPunct/>
        <w:autoSpaceDE/>
        <w:adjustRightInd/>
        <w:textAlignment w:val="auto"/>
        <w:rPr>
          <w:sz w:val="22"/>
          <w:szCs w:val="22"/>
        </w:rPr>
      </w:pPr>
      <w:r w:rsidRPr="003017B4">
        <w:rPr>
          <w:sz w:val="22"/>
          <w:szCs w:val="22"/>
        </w:rPr>
        <w:t xml:space="preserve">Les candidats intéressés peuvent consulter gratuitement le dossier d’Appel d’offres complet ou le retirer à titre onéreux contre paiement en espèce d’une somme non remboursable de </w:t>
      </w:r>
      <w:r w:rsidRPr="003017B4">
        <w:rPr>
          <w:b/>
          <w:sz w:val="22"/>
          <w:szCs w:val="22"/>
        </w:rPr>
        <w:t xml:space="preserve">cent mille (100 000) francs </w:t>
      </w:r>
      <w:r w:rsidRPr="003017B4">
        <w:rPr>
          <w:b/>
          <w:noProof/>
          <w:sz w:val="22"/>
          <w:szCs w:val="22"/>
        </w:rPr>
        <w:t xml:space="preserve">CFA </w:t>
      </w:r>
      <w:r w:rsidRPr="00D6571C">
        <w:rPr>
          <w:noProof/>
          <w:sz w:val="22"/>
          <w:szCs w:val="22"/>
        </w:rPr>
        <w:t>au</w:t>
      </w:r>
      <w:r w:rsidRPr="003017B4">
        <w:rPr>
          <w:b/>
          <w:noProof/>
          <w:sz w:val="22"/>
          <w:szCs w:val="22"/>
        </w:rPr>
        <w:t xml:space="preserve"> secrétariat de la Personne Responsable des Marchés Publics du MEHV, Immeuble des 4 ministères ; Tél.: (228) </w:t>
      </w:r>
      <w:r w:rsidR="00D131AA" w:rsidRPr="003017B4">
        <w:rPr>
          <w:b/>
          <w:i/>
          <w:sz w:val="22"/>
          <w:szCs w:val="22"/>
        </w:rPr>
        <w:t>90 24 42 25 / 90 06 70 26</w:t>
      </w:r>
      <w:r w:rsidRPr="003017B4">
        <w:rPr>
          <w:b/>
          <w:noProof/>
          <w:sz w:val="22"/>
          <w:szCs w:val="22"/>
        </w:rPr>
        <w:t> ; Fax: (228) 22 20 81 12 ; E-mail :</w:t>
      </w:r>
      <w:r w:rsidRPr="003017B4">
        <w:rPr>
          <w:b/>
          <w:sz w:val="22"/>
          <w:szCs w:val="22"/>
        </w:rPr>
        <w:t xml:space="preserve"> </w:t>
      </w:r>
      <w:hyperlink r:id="rId10" w:history="1">
        <w:r w:rsidRPr="003017B4">
          <w:rPr>
            <w:rStyle w:val="Lienhypertexte"/>
            <w:b/>
            <w:color w:val="auto"/>
            <w:sz w:val="22"/>
            <w:szCs w:val="22"/>
            <w:u w:val="none"/>
          </w:rPr>
          <w:t>prmpmehv@yahoo.com</w:t>
        </w:r>
      </w:hyperlink>
      <w:r w:rsidRPr="003017B4">
        <w:rPr>
          <w:b/>
          <w:sz w:val="22"/>
          <w:szCs w:val="22"/>
        </w:rPr>
        <w:t xml:space="preserve">, </w:t>
      </w:r>
      <w:r w:rsidRPr="003017B4">
        <w:rPr>
          <w:sz w:val="22"/>
          <w:szCs w:val="22"/>
        </w:rPr>
        <w:t>le matin de 7h 30 mn à 12 h TU et l’après-midi de 14h 30 mn à 17h 30 mn TU.</w:t>
      </w:r>
    </w:p>
    <w:p w:rsidR="00A04389" w:rsidRPr="003017B4" w:rsidRDefault="00A04389" w:rsidP="003017B4">
      <w:pPr>
        <w:suppressAutoHyphens w:val="0"/>
        <w:overflowPunct/>
        <w:autoSpaceDE/>
        <w:adjustRightInd/>
        <w:ind w:left="720"/>
        <w:rPr>
          <w:sz w:val="22"/>
          <w:szCs w:val="22"/>
        </w:rPr>
      </w:pPr>
    </w:p>
    <w:p w:rsidR="00A04389" w:rsidRPr="003017B4" w:rsidRDefault="00A04389" w:rsidP="003017B4">
      <w:pPr>
        <w:numPr>
          <w:ilvl w:val="0"/>
          <w:numId w:val="1"/>
        </w:numPr>
        <w:suppressAutoHyphens w:val="0"/>
        <w:overflowPunct/>
        <w:autoSpaceDE/>
        <w:adjustRightInd/>
        <w:textAlignment w:val="auto"/>
        <w:rPr>
          <w:sz w:val="22"/>
          <w:szCs w:val="22"/>
        </w:rPr>
      </w:pPr>
      <w:r w:rsidRPr="003017B4">
        <w:rPr>
          <w:sz w:val="22"/>
          <w:szCs w:val="22"/>
        </w:rPr>
        <w:t>Les offres devront être soumises à l’adresse ci-dessous :</w:t>
      </w:r>
    </w:p>
    <w:p w:rsidR="00A04389" w:rsidRPr="003017B4" w:rsidRDefault="00A04389" w:rsidP="003017B4">
      <w:pPr>
        <w:pStyle w:val="Paragraphedeliste"/>
        <w:rPr>
          <w:sz w:val="22"/>
          <w:szCs w:val="22"/>
        </w:rPr>
      </w:pPr>
    </w:p>
    <w:p w:rsidR="00A04389" w:rsidRPr="003017B4" w:rsidRDefault="00A04389" w:rsidP="003017B4">
      <w:pPr>
        <w:pStyle w:val="Paragraphedeliste"/>
        <w:keepNext/>
        <w:tabs>
          <w:tab w:val="left" w:pos="720"/>
          <w:tab w:val="left" w:pos="1440"/>
          <w:tab w:val="right" w:leader="dot" w:pos="8640"/>
        </w:tabs>
        <w:rPr>
          <w:b/>
          <w:sz w:val="22"/>
          <w:szCs w:val="22"/>
        </w:rPr>
      </w:pPr>
      <w:r w:rsidRPr="003017B4">
        <w:rPr>
          <w:b/>
          <w:sz w:val="22"/>
          <w:szCs w:val="22"/>
        </w:rPr>
        <w:t>Ministère de l’Eau et de l’Hydraulique Villageoise (MEHV),</w:t>
      </w:r>
    </w:p>
    <w:p w:rsidR="00A04389" w:rsidRPr="003017B4" w:rsidRDefault="00A04389" w:rsidP="003017B4">
      <w:pPr>
        <w:pStyle w:val="Paragraphedeliste"/>
        <w:keepNext/>
        <w:tabs>
          <w:tab w:val="left" w:pos="720"/>
          <w:tab w:val="left" w:pos="1440"/>
          <w:tab w:val="right" w:leader="dot" w:pos="8640"/>
        </w:tabs>
        <w:rPr>
          <w:b/>
          <w:sz w:val="22"/>
          <w:szCs w:val="22"/>
        </w:rPr>
      </w:pPr>
      <w:r w:rsidRPr="003017B4">
        <w:rPr>
          <w:b/>
          <w:sz w:val="22"/>
          <w:szCs w:val="22"/>
        </w:rPr>
        <w:t xml:space="preserve">Immeuble des 4 ministères, côté Est </w:t>
      </w:r>
    </w:p>
    <w:p w:rsidR="00A04389" w:rsidRPr="003017B4" w:rsidRDefault="00A04389" w:rsidP="003017B4">
      <w:pPr>
        <w:pStyle w:val="Paragraphedeliste"/>
        <w:keepNext/>
        <w:tabs>
          <w:tab w:val="left" w:pos="720"/>
          <w:tab w:val="left" w:pos="1440"/>
          <w:tab w:val="right" w:leader="dot" w:pos="8640"/>
        </w:tabs>
        <w:rPr>
          <w:b/>
          <w:sz w:val="22"/>
          <w:szCs w:val="22"/>
        </w:rPr>
      </w:pPr>
      <w:r w:rsidRPr="003017B4">
        <w:rPr>
          <w:b/>
          <w:sz w:val="22"/>
          <w:szCs w:val="22"/>
        </w:rPr>
        <w:t>Secrétariat de la Personne responsable des marchés publics</w:t>
      </w:r>
    </w:p>
    <w:p w:rsidR="00A04389" w:rsidRPr="003017B4" w:rsidRDefault="00A04389" w:rsidP="003017B4">
      <w:pPr>
        <w:pStyle w:val="Paragraphedeliste"/>
        <w:keepNext/>
        <w:tabs>
          <w:tab w:val="left" w:pos="720"/>
          <w:tab w:val="left" w:pos="1440"/>
          <w:tab w:val="right" w:leader="dot" w:pos="8640"/>
        </w:tabs>
        <w:rPr>
          <w:b/>
          <w:sz w:val="22"/>
          <w:szCs w:val="22"/>
        </w:rPr>
      </w:pPr>
      <w:r w:rsidRPr="003017B4">
        <w:rPr>
          <w:b/>
          <w:sz w:val="22"/>
          <w:szCs w:val="22"/>
        </w:rPr>
        <w:t xml:space="preserve">Tél : (228) </w:t>
      </w:r>
      <w:r w:rsidR="00D131AA" w:rsidRPr="003017B4">
        <w:rPr>
          <w:b/>
          <w:i/>
          <w:sz w:val="22"/>
          <w:szCs w:val="22"/>
        </w:rPr>
        <w:t>90 24 42 25 / 90 06 70 26</w:t>
      </w:r>
    </w:p>
    <w:p w:rsidR="00A04389" w:rsidRPr="003017B4" w:rsidRDefault="00A04389" w:rsidP="003017B4">
      <w:pPr>
        <w:pStyle w:val="Paragraphedeliste"/>
        <w:keepNext/>
        <w:tabs>
          <w:tab w:val="left" w:pos="720"/>
          <w:tab w:val="left" w:pos="1440"/>
          <w:tab w:val="right" w:leader="dot" w:pos="8640"/>
        </w:tabs>
        <w:rPr>
          <w:b/>
          <w:sz w:val="22"/>
          <w:szCs w:val="22"/>
        </w:rPr>
      </w:pPr>
      <w:r w:rsidRPr="003017B4">
        <w:rPr>
          <w:b/>
          <w:sz w:val="22"/>
          <w:szCs w:val="22"/>
        </w:rPr>
        <w:t>Fax : (228) 22 20 81 12</w:t>
      </w:r>
    </w:p>
    <w:p w:rsidR="00A04389" w:rsidRPr="003017B4" w:rsidRDefault="00A04389" w:rsidP="003017B4">
      <w:pPr>
        <w:pStyle w:val="Paragraphedeliste"/>
        <w:keepNext/>
        <w:tabs>
          <w:tab w:val="left" w:pos="720"/>
          <w:tab w:val="left" w:pos="1440"/>
          <w:tab w:val="right" w:leader="dot" w:pos="8640"/>
        </w:tabs>
        <w:rPr>
          <w:b/>
          <w:sz w:val="22"/>
          <w:szCs w:val="22"/>
        </w:rPr>
      </w:pPr>
      <w:proofErr w:type="gramStart"/>
      <w:r w:rsidRPr="003017B4">
        <w:rPr>
          <w:sz w:val="22"/>
          <w:szCs w:val="22"/>
        </w:rPr>
        <w:t>au</w:t>
      </w:r>
      <w:proofErr w:type="gramEnd"/>
      <w:r w:rsidRPr="003017B4">
        <w:rPr>
          <w:sz w:val="22"/>
          <w:szCs w:val="22"/>
        </w:rPr>
        <w:t xml:space="preserve"> plus tard </w:t>
      </w:r>
      <w:r w:rsidRPr="00D6571C">
        <w:rPr>
          <w:sz w:val="22"/>
          <w:szCs w:val="22"/>
        </w:rPr>
        <w:t>le</w:t>
      </w:r>
      <w:r w:rsidRPr="003017B4">
        <w:rPr>
          <w:b/>
          <w:sz w:val="22"/>
          <w:szCs w:val="22"/>
        </w:rPr>
        <w:t xml:space="preserve"> mardi 18 avril 2023 </w:t>
      </w:r>
      <w:r w:rsidRPr="003017B4">
        <w:rPr>
          <w:iCs/>
          <w:sz w:val="22"/>
          <w:szCs w:val="22"/>
        </w:rPr>
        <w:t xml:space="preserve">à </w:t>
      </w:r>
      <w:r w:rsidRPr="003017B4">
        <w:rPr>
          <w:b/>
          <w:iCs/>
          <w:sz w:val="22"/>
          <w:szCs w:val="22"/>
        </w:rPr>
        <w:t>09 h 30 mn TU</w:t>
      </w:r>
      <w:r w:rsidRPr="003017B4">
        <w:rPr>
          <w:b/>
          <w:i/>
          <w:iCs/>
          <w:sz w:val="22"/>
          <w:szCs w:val="22"/>
        </w:rPr>
        <w:t>.</w:t>
      </w:r>
      <w:r w:rsidRPr="003017B4">
        <w:rPr>
          <w:b/>
          <w:sz w:val="22"/>
          <w:szCs w:val="22"/>
        </w:rPr>
        <w:t xml:space="preserve"> </w:t>
      </w:r>
      <w:r w:rsidRPr="003017B4">
        <w:rPr>
          <w:sz w:val="22"/>
          <w:szCs w:val="22"/>
        </w:rPr>
        <w:t xml:space="preserve">Les offres remises en retard ne seront pas acceptées. </w:t>
      </w:r>
    </w:p>
    <w:p w:rsidR="00A04389" w:rsidRPr="003017B4" w:rsidRDefault="00A04389" w:rsidP="003017B4">
      <w:pPr>
        <w:suppressAutoHyphens w:val="0"/>
        <w:overflowPunct/>
        <w:autoSpaceDE/>
        <w:adjustRightInd/>
        <w:rPr>
          <w:sz w:val="22"/>
          <w:szCs w:val="22"/>
        </w:rPr>
      </w:pPr>
    </w:p>
    <w:p w:rsidR="00A04389" w:rsidRPr="003017B4" w:rsidRDefault="00A04389" w:rsidP="003017B4">
      <w:pPr>
        <w:suppressAutoHyphens w:val="0"/>
        <w:overflowPunct/>
        <w:autoSpaceDE/>
        <w:adjustRightInd/>
        <w:ind w:left="1134" w:hanging="414"/>
        <w:rPr>
          <w:sz w:val="22"/>
          <w:szCs w:val="22"/>
        </w:rPr>
      </w:pPr>
      <w:r w:rsidRPr="003017B4">
        <w:rPr>
          <w:b/>
          <w:i/>
          <w:sz w:val="22"/>
          <w:szCs w:val="22"/>
          <w:u w:val="single"/>
        </w:rPr>
        <w:t>NB</w:t>
      </w:r>
      <w:r w:rsidRPr="003017B4">
        <w:rPr>
          <w:b/>
          <w:i/>
          <w:sz w:val="22"/>
          <w:szCs w:val="22"/>
        </w:rPr>
        <w:t xml:space="preserve"> : </w:t>
      </w:r>
      <w:r w:rsidRPr="003017B4">
        <w:rPr>
          <w:b/>
          <w:i/>
          <w:iCs/>
          <w:sz w:val="22"/>
          <w:szCs w:val="22"/>
        </w:rPr>
        <w:t>Les envois postaux, par courrier aérien rapide ou par tout autre moyen d’expédition se font aux risques et périls de l’expéditeur</w:t>
      </w:r>
      <w:r w:rsidRPr="003017B4">
        <w:rPr>
          <w:i/>
          <w:sz w:val="22"/>
          <w:szCs w:val="22"/>
        </w:rPr>
        <w:t>.</w:t>
      </w:r>
    </w:p>
    <w:p w:rsidR="00A04389" w:rsidRPr="003017B4" w:rsidRDefault="00A04389" w:rsidP="003017B4">
      <w:pPr>
        <w:suppressAutoHyphens w:val="0"/>
        <w:overflowPunct/>
        <w:autoSpaceDE/>
        <w:adjustRightInd/>
        <w:rPr>
          <w:sz w:val="22"/>
          <w:szCs w:val="22"/>
        </w:rPr>
      </w:pPr>
    </w:p>
    <w:p w:rsidR="00A04389" w:rsidRPr="003017B4" w:rsidRDefault="00A04389" w:rsidP="003017B4">
      <w:pPr>
        <w:numPr>
          <w:ilvl w:val="0"/>
          <w:numId w:val="1"/>
        </w:numPr>
        <w:suppressAutoHyphens w:val="0"/>
        <w:overflowPunct/>
        <w:autoSpaceDE/>
        <w:adjustRightInd/>
        <w:textAlignment w:val="auto"/>
        <w:rPr>
          <w:rFonts w:eastAsia="Calibri"/>
          <w:sz w:val="22"/>
          <w:szCs w:val="22"/>
          <w:lang w:eastAsia="en-US"/>
        </w:rPr>
      </w:pPr>
      <w:r w:rsidRPr="003017B4">
        <w:rPr>
          <w:sz w:val="22"/>
          <w:szCs w:val="22"/>
        </w:rPr>
        <w:t xml:space="preserve">Les offres doivent comprendre </w:t>
      </w:r>
      <w:r w:rsidRPr="003017B4">
        <w:rPr>
          <w:iCs/>
          <w:sz w:val="22"/>
          <w:szCs w:val="22"/>
        </w:rPr>
        <w:t>une garantie bancaire de soumission,</w:t>
      </w:r>
      <w:r w:rsidRPr="003017B4">
        <w:rPr>
          <w:sz w:val="22"/>
          <w:szCs w:val="22"/>
        </w:rPr>
        <w:t xml:space="preserve"> d’un montant égal à : </w:t>
      </w:r>
      <w:r w:rsidRPr="003017B4">
        <w:rPr>
          <w:b/>
          <w:sz w:val="22"/>
          <w:szCs w:val="22"/>
        </w:rPr>
        <w:t>douze millions (12 000 000)</w:t>
      </w:r>
      <w:r w:rsidRPr="003017B4">
        <w:rPr>
          <w:rFonts w:eastAsia="Calibri"/>
          <w:b/>
          <w:sz w:val="22"/>
          <w:szCs w:val="22"/>
          <w:lang w:eastAsia="en-US"/>
        </w:rPr>
        <w:t xml:space="preserve"> Francs CFA</w:t>
      </w:r>
      <w:r w:rsidRPr="003017B4">
        <w:rPr>
          <w:rFonts w:eastAsia="Calibri"/>
          <w:sz w:val="22"/>
          <w:szCs w:val="22"/>
          <w:lang w:eastAsia="en-US"/>
        </w:rPr>
        <w:t xml:space="preserve">. </w:t>
      </w:r>
      <w:r w:rsidRPr="003017B4">
        <w:rPr>
          <w:iCs/>
          <w:sz w:val="22"/>
          <w:szCs w:val="22"/>
        </w:rPr>
        <w:t>Les garanties de soumission provenant des institutions de microfinance ou des compagnies d’assurance seront rejetées (voir modèle fourni dans le dossier).</w:t>
      </w:r>
    </w:p>
    <w:p w:rsidR="00A04389" w:rsidRPr="003017B4" w:rsidRDefault="00A04389" w:rsidP="003017B4">
      <w:pPr>
        <w:suppressAutoHyphens w:val="0"/>
        <w:overflowPunct/>
        <w:autoSpaceDE/>
        <w:adjustRightInd/>
        <w:rPr>
          <w:sz w:val="22"/>
          <w:szCs w:val="22"/>
        </w:rPr>
      </w:pPr>
    </w:p>
    <w:p w:rsidR="00A04389" w:rsidRPr="003017B4" w:rsidRDefault="00A04389" w:rsidP="003017B4">
      <w:pPr>
        <w:numPr>
          <w:ilvl w:val="0"/>
          <w:numId w:val="1"/>
        </w:numPr>
        <w:suppressAutoHyphens w:val="0"/>
        <w:overflowPunct/>
        <w:autoSpaceDE/>
        <w:adjustRightInd/>
        <w:textAlignment w:val="auto"/>
        <w:rPr>
          <w:sz w:val="22"/>
          <w:szCs w:val="22"/>
        </w:rPr>
      </w:pPr>
      <w:r w:rsidRPr="003017B4">
        <w:rPr>
          <w:sz w:val="22"/>
          <w:szCs w:val="22"/>
        </w:rPr>
        <w:t xml:space="preserve">Les candidats resteront engagés par leurs offres pendant une période de </w:t>
      </w:r>
      <w:r w:rsidRPr="003017B4">
        <w:rPr>
          <w:b/>
          <w:sz w:val="22"/>
          <w:szCs w:val="22"/>
        </w:rPr>
        <w:t>120 jours</w:t>
      </w:r>
      <w:r w:rsidRPr="003017B4">
        <w:rPr>
          <w:sz w:val="22"/>
          <w:szCs w:val="22"/>
        </w:rPr>
        <w:t xml:space="preserve"> à comp</w:t>
      </w:r>
      <w:r w:rsidR="00727147" w:rsidRPr="003017B4">
        <w:rPr>
          <w:sz w:val="22"/>
          <w:szCs w:val="22"/>
        </w:rPr>
        <w:t xml:space="preserve">ter de la </w:t>
      </w:r>
      <w:r w:rsidRPr="003017B4">
        <w:rPr>
          <w:sz w:val="22"/>
          <w:szCs w:val="22"/>
        </w:rPr>
        <w:t>date limite du dépôt des offres comme spécifiées au point 19.1 des IC et aux DPAO.</w:t>
      </w:r>
    </w:p>
    <w:p w:rsidR="00A04389" w:rsidRPr="003017B4" w:rsidRDefault="00A04389" w:rsidP="003017B4">
      <w:pPr>
        <w:suppressAutoHyphens w:val="0"/>
        <w:overflowPunct/>
        <w:autoSpaceDE/>
        <w:adjustRightInd/>
        <w:rPr>
          <w:sz w:val="22"/>
          <w:szCs w:val="22"/>
        </w:rPr>
      </w:pPr>
    </w:p>
    <w:p w:rsidR="00A04389" w:rsidRPr="003017B4" w:rsidRDefault="00A04389" w:rsidP="003017B4">
      <w:pPr>
        <w:numPr>
          <w:ilvl w:val="0"/>
          <w:numId w:val="1"/>
        </w:numPr>
        <w:suppressAutoHyphens w:val="0"/>
        <w:overflowPunct/>
        <w:autoSpaceDE/>
        <w:adjustRightInd/>
        <w:textAlignment w:val="auto"/>
        <w:rPr>
          <w:sz w:val="22"/>
          <w:szCs w:val="22"/>
        </w:rPr>
      </w:pPr>
      <w:r w:rsidRPr="003017B4">
        <w:rPr>
          <w:sz w:val="22"/>
          <w:szCs w:val="22"/>
        </w:rPr>
        <w:lastRenderedPageBreak/>
        <w:t xml:space="preserve"> Les offres seront ouvertes en présence des représentants des soumissionnaires qui souhaitent assister à l’ouverture des plis, le même jour à </w:t>
      </w:r>
      <w:r w:rsidRPr="003017B4">
        <w:rPr>
          <w:b/>
          <w:sz w:val="22"/>
          <w:szCs w:val="22"/>
        </w:rPr>
        <w:t xml:space="preserve">10 h 00 TU </w:t>
      </w:r>
      <w:r w:rsidRPr="003017B4">
        <w:rPr>
          <w:sz w:val="22"/>
          <w:szCs w:val="22"/>
        </w:rPr>
        <w:t xml:space="preserve">à l’adresse suivante : </w:t>
      </w:r>
    </w:p>
    <w:p w:rsidR="00727147" w:rsidRPr="00A04389" w:rsidRDefault="00727147" w:rsidP="00727147">
      <w:pPr>
        <w:suppressAutoHyphens w:val="0"/>
        <w:overflowPunct/>
        <w:autoSpaceDE/>
        <w:adjustRightInd/>
        <w:textAlignment w:val="auto"/>
      </w:pPr>
    </w:p>
    <w:p w:rsidR="00A04389" w:rsidRPr="00A04389" w:rsidRDefault="00A04389" w:rsidP="00727147">
      <w:pPr>
        <w:pStyle w:val="Paragraphedeliste"/>
        <w:suppressAutoHyphens w:val="0"/>
        <w:overflowPunct/>
        <w:autoSpaceDE/>
        <w:autoSpaceDN/>
        <w:adjustRightInd/>
        <w:textAlignment w:val="auto"/>
        <w:rPr>
          <w:b/>
          <w:sz w:val="22"/>
          <w:szCs w:val="22"/>
        </w:rPr>
      </w:pPr>
      <w:r w:rsidRPr="00A04389">
        <w:rPr>
          <w:b/>
          <w:sz w:val="22"/>
          <w:szCs w:val="22"/>
        </w:rPr>
        <w:t>Immeuble des 4 ministères côté Est,</w:t>
      </w:r>
    </w:p>
    <w:p w:rsidR="00A04389" w:rsidRPr="00A04389" w:rsidRDefault="00A04389" w:rsidP="00727147">
      <w:pPr>
        <w:pStyle w:val="Paragraphedeliste"/>
        <w:suppressAutoHyphens w:val="0"/>
        <w:overflowPunct/>
        <w:autoSpaceDE/>
        <w:autoSpaceDN/>
        <w:adjustRightInd/>
        <w:textAlignment w:val="auto"/>
        <w:rPr>
          <w:sz w:val="22"/>
          <w:szCs w:val="22"/>
        </w:rPr>
      </w:pPr>
      <w:r w:rsidRPr="00A04389">
        <w:rPr>
          <w:sz w:val="22"/>
          <w:szCs w:val="22"/>
        </w:rPr>
        <w:t>Salle de réunion du MEHV</w:t>
      </w:r>
    </w:p>
    <w:p w:rsidR="00A04389" w:rsidRPr="00A04389" w:rsidRDefault="00A04389" w:rsidP="00727147">
      <w:pPr>
        <w:pStyle w:val="Paragraphedeliste"/>
        <w:suppressAutoHyphens w:val="0"/>
        <w:overflowPunct/>
        <w:autoSpaceDE/>
        <w:autoSpaceDN/>
        <w:adjustRightInd/>
        <w:textAlignment w:val="auto"/>
        <w:rPr>
          <w:sz w:val="22"/>
          <w:szCs w:val="22"/>
        </w:rPr>
      </w:pPr>
      <w:r w:rsidRPr="00A04389">
        <w:rPr>
          <w:sz w:val="22"/>
          <w:szCs w:val="22"/>
        </w:rPr>
        <w:t xml:space="preserve">01B.P. 119 Lomé </w:t>
      </w:r>
    </w:p>
    <w:p w:rsidR="00A04389" w:rsidRPr="00A04389" w:rsidRDefault="00A04389" w:rsidP="00727147">
      <w:pPr>
        <w:pStyle w:val="Paragraphedeliste"/>
        <w:suppressAutoHyphens w:val="0"/>
        <w:overflowPunct/>
        <w:autoSpaceDE/>
        <w:autoSpaceDN/>
        <w:adjustRightInd/>
        <w:textAlignment w:val="auto"/>
        <w:rPr>
          <w:sz w:val="22"/>
          <w:szCs w:val="22"/>
        </w:rPr>
      </w:pPr>
      <w:r w:rsidRPr="00A04389">
        <w:rPr>
          <w:sz w:val="22"/>
          <w:szCs w:val="22"/>
        </w:rPr>
        <w:t xml:space="preserve">Tél. (00228) </w:t>
      </w:r>
      <w:r w:rsidR="00D131AA">
        <w:rPr>
          <w:b/>
          <w:i/>
          <w:sz w:val="22"/>
          <w:szCs w:val="22"/>
        </w:rPr>
        <w:t>90 24 42 25</w:t>
      </w:r>
      <w:r w:rsidR="00D131AA" w:rsidRPr="00A04389">
        <w:rPr>
          <w:b/>
          <w:i/>
          <w:sz w:val="22"/>
          <w:szCs w:val="22"/>
        </w:rPr>
        <w:t xml:space="preserve"> / </w:t>
      </w:r>
      <w:r w:rsidR="00D131AA">
        <w:rPr>
          <w:b/>
          <w:i/>
          <w:sz w:val="22"/>
          <w:szCs w:val="22"/>
        </w:rPr>
        <w:t>90 06 70 26</w:t>
      </w:r>
      <w:r w:rsidRPr="00A04389">
        <w:rPr>
          <w:sz w:val="22"/>
          <w:szCs w:val="22"/>
        </w:rPr>
        <w:t xml:space="preserve"> </w:t>
      </w:r>
    </w:p>
    <w:p w:rsidR="00A04389" w:rsidRPr="00D971DC" w:rsidRDefault="00A04389" w:rsidP="00727147">
      <w:pPr>
        <w:pStyle w:val="Paragraphedeliste"/>
        <w:keepNext/>
        <w:tabs>
          <w:tab w:val="left" w:pos="720"/>
          <w:tab w:val="left" w:pos="1440"/>
          <w:tab w:val="right" w:leader="dot" w:pos="8640"/>
        </w:tabs>
        <w:rPr>
          <w:b/>
          <w:i/>
        </w:rPr>
      </w:pPr>
      <w:r w:rsidRPr="00A04389">
        <w:rPr>
          <w:sz w:val="22"/>
          <w:szCs w:val="22"/>
        </w:rPr>
        <w:t xml:space="preserve">E-mail : </w:t>
      </w:r>
      <w:hyperlink r:id="rId11" w:history="1">
        <w:r w:rsidRPr="00D971DC">
          <w:rPr>
            <w:rStyle w:val="Lienhypertexte"/>
            <w:b/>
            <w:color w:val="auto"/>
            <w:sz w:val="22"/>
            <w:szCs w:val="22"/>
            <w:u w:val="none"/>
          </w:rPr>
          <w:t>prmpmehv@yahoo.com</w:t>
        </w:r>
      </w:hyperlink>
      <w:r w:rsidRPr="00D971DC">
        <w:rPr>
          <w:sz w:val="22"/>
          <w:szCs w:val="22"/>
        </w:rPr>
        <w:t xml:space="preserve">   </w:t>
      </w:r>
      <w:r w:rsidRPr="00D971DC">
        <w:rPr>
          <w:noProof/>
        </w:rPr>
        <w:t xml:space="preserve"> </w:t>
      </w:r>
    </w:p>
    <w:p w:rsidR="00A04389" w:rsidRPr="00D971DC" w:rsidRDefault="00A04389" w:rsidP="00727147">
      <w:pPr>
        <w:pStyle w:val="Paragraphedeliste"/>
        <w:rPr>
          <w:b/>
          <w:sz w:val="22"/>
          <w:szCs w:val="22"/>
        </w:rPr>
      </w:pPr>
    </w:p>
    <w:p w:rsidR="00A04389" w:rsidRPr="00A04389" w:rsidRDefault="001158DB" w:rsidP="00727147">
      <w:pPr>
        <w:suppressAutoHyphens w:val="0"/>
        <w:overflowPunct/>
        <w:autoSpaceDE/>
        <w:adjustRightInd/>
        <w:rPr>
          <w:b/>
          <w:bCs/>
          <w:iCs/>
          <w:sz w:val="22"/>
          <w:szCs w:val="22"/>
        </w:rPr>
      </w:pPr>
      <w:r>
        <w:rPr>
          <w:b/>
          <w:bCs/>
          <w:iCs/>
          <w:sz w:val="22"/>
          <w:szCs w:val="22"/>
        </w:rPr>
        <w:t xml:space="preserve"> </w:t>
      </w:r>
    </w:p>
    <w:p w:rsidR="00072721" w:rsidRPr="00727147" w:rsidRDefault="00D971DC" w:rsidP="00727147">
      <w:pPr>
        <w:suppressAutoHyphens w:val="0"/>
        <w:overflowPunct/>
        <w:autoSpaceDE/>
        <w:adjustRightInd/>
        <w:jc w:val="center"/>
        <w:rPr>
          <w:b/>
          <w:sz w:val="22"/>
          <w:szCs w:val="22"/>
        </w:rPr>
      </w:pPr>
      <w:r>
        <w:rPr>
          <w:b/>
          <w:bCs/>
          <w:iCs/>
          <w:sz w:val="22"/>
          <w:szCs w:val="22"/>
        </w:rPr>
        <w:t>Le Ministre</w:t>
      </w:r>
    </w:p>
    <w:sectPr w:rsidR="00072721" w:rsidRPr="00727147">
      <w:headerReference w:type="even" r:id="rId1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26B" w:rsidRDefault="0061126B">
      <w:r>
        <w:separator/>
      </w:r>
    </w:p>
  </w:endnote>
  <w:endnote w:type="continuationSeparator" w:id="0">
    <w:p w:rsidR="0061126B" w:rsidRDefault="0061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ArialNarrow-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260657"/>
      <w:docPartObj>
        <w:docPartGallery w:val="Page Numbers (Bottom of Page)"/>
        <w:docPartUnique/>
      </w:docPartObj>
    </w:sdtPr>
    <w:sdtEndPr>
      <w:rPr>
        <w:b/>
      </w:rPr>
    </w:sdtEndPr>
    <w:sdtContent>
      <w:p w:rsidR="000F716F" w:rsidRPr="000F716F" w:rsidRDefault="000F716F">
        <w:pPr>
          <w:pStyle w:val="Pieddepage"/>
          <w:jc w:val="right"/>
          <w:rPr>
            <w:b/>
          </w:rPr>
        </w:pPr>
        <w:r w:rsidRPr="000F716F">
          <w:rPr>
            <w:b/>
          </w:rPr>
          <w:fldChar w:fldCharType="begin"/>
        </w:r>
        <w:r w:rsidRPr="000F716F">
          <w:rPr>
            <w:b/>
          </w:rPr>
          <w:instrText>PAGE   \* MERGEFORMAT</w:instrText>
        </w:r>
        <w:r w:rsidRPr="000F716F">
          <w:rPr>
            <w:b/>
          </w:rPr>
          <w:fldChar w:fldCharType="separate"/>
        </w:r>
        <w:r w:rsidR="00130961">
          <w:rPr>
            <w:b/>
            <w:noProof/>
          </w:rPr>
          <w:t>1</w:t>
        </w:r>
        <w:r w:rsidRPr="000F716F">
          <w:rPr>
            <w:b/>
          </w:rPr>
          <w:fldChar w:fldCharType="end"/>
        </w:r>
      </w:p>
    </w:sdtContent>
  </w:sdt>
  <w:p w:rsidR="000F716F" w:rsidRDefault="000F71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26B" w:rsidRDefault="0061126B">
      <w:r>
        <w:separator/>
      </w:r>
    </w:p>
  </w:footnote>
  <w:footnote w:type="continuationSeparator" w:id="0">
    <w:p w:rsidR="0061126B" w:rsidRDefault="00611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CB" w:rsidRDefault="00D971DC">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rsidR="006160CB" w:rsidRDefault="00D971DC" w:rsidP="004E0251">
    <w:pPr>
      <w:pStyle w:val="En-tte"/>
      <w:pBdr>
        <w:bottom w:val="single" w:sz="4" w:space="1" w:color="auto"/>
      </w:pBdr>
      <w:tabs>
        <w:tab w:val="right" w:pos="9360"/>
      </w:tabs>
      <w:jc w:val="right"/>
    </w:pPr>
    <w:r>
      <w:t>Section I. Instructions aux soumissionnaires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CB" w:rsidRDefault="00D971DC">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130961">
      <w:rPr>
        <w:rStyle w:val="Numrodepage"/>
        <w:noProof/>
      </w:rPr>
      <w:t>1</w:t>
    </w:r>
    <w:r>
      <w:rPr>
        <w:rStyle w:val="Numrodepage"/>
      </w:rPr>
      <w:fldChar w:fldCharType="end"/>
    </w:r>
  </w:p>
  <w:p w:rsidR="006160CB" w:rsidRDefault="00D971DC" w:rsidP="004E0251">
    <w:pPr>
      <w:pStyle w:val="En-tte"/>
      <w:pBdr>
        <w:bottom w:val="single" w:sz="4" w:space="1" w:color="auto"/>
      </w:pBdr>
      <w:ind w:right="-36"/>
    </w:pPr>
    <w:r>
      <w:t>Section I. Instructions aux soumissionnaires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84402"/>
    <w:multiLevelType w:val="hybridMultilevel"/>
    <w:tmpl w:val="9C7E2A86"/>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32F21DC8"/>
    <w:multiLevelType w:val="hybridMultilevel"/>
    <w:tmpl w:val="8C22700E"/>
    <w:lvl w:ilvl="0" w:tplc="040C000D">
      <w:start w:val="1"/>
      <w:numFmt w:val="bullet"/>
      <w:lvlText w:val=""/>
      <w:lvlJc w:val="left"/>
      <w:pPr>
        <w:ind w:left="1494"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 w15:restartNumberingAfterBreak="0">
    <w:nsid w:val="38056144"/>
    <w:multiLevelType w:val="hybridMultilevel"/>
    <w:tmpl w:val="74D69CE4"/>
    <w:lvl w:ilvl="0" w:tplc="6264EA7A">
      <w:start w:val="1"/>
      <w:numFmt w:val="decimal"/>
      <w:lvlText w:val="%1."/>
      <w:lvlJc w:val="left"/>
      <w:pPr>
        <w:ind w:left="720" w:hanging="360"/>
      </w:pPr>
      <w:rPr>
        <w:rFonts w:ascii="Times New Roman" w:eastAsia="Times New Roman" w:hAnsi="Times New Roman" w:cs="Times New Roman"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6DD7A7B"/>
    <w:multiLevelType w:val="hybridMultilevel"/>
    <w:tmpl w:val="1150724E"/>
    <w:lvl w:ilvl="0" w:tplc="FFFFFFFF">
      <w:start w:val="1"/>
      <w:numFmt w:val="bullet"/>
      <w:lvlText w:val=""/>
      <w:lvlJc w:val="left"/>
      <w:pPr>
        <w:ind w:left="1440" w:hanging="360"/>
      </w:pPr>
      <w:rPr>
        <w:rFonts w:ascii="Wingdings" w:hAnsi="Wingding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6A3830AF"/>
    <w:multiLevelType w:val="hybridMultilevel"/>
    <w:tmpl w:val="A95490E2"/>
    <w:lvl w:ilvl="0" w:tplc="040C0017">
      <w:start w:val="1"/>
      <w:numFmt w:val="bullet"/>
      <w:lvlText w:val=""/>
      <w:lvlJc w:val="left"/>
      <w:pPr>
        <w:ind w:left="1800" w:hanging="360"/>
      </w:pPr>
      <w:rPr>
        <w:rFonts w:ascii="Symbol" w:hAnsi="Symbol" w:hint="default"/>
        <w:color w:val="auto"/>
      </w:rPr>
    </w:lvl>
    <w:lvl w:ilvl="1" w:tplc="040C0019">
      <w:start w:val="1"/>
      <w:numFmt w:val="bullet"/>
      <w:lvlText w:val="o"/>
      <w:lvlJc w:val="left"/>
      <w:pPr>
        <w:ind w:left="2520" w:hanging="360"/>
      </w:pPr>
      <w:rPr>
        <w:rFonts w:ascii="Courier New" w:hAnsi="Courier New" w:cs="Courier New" w:hint="default"/>
      </w:rPr>
    </w:lvl>
    <w:lvl w:ilvl="2" w:tplc="040C001B">
      <w:start w:val="1"/>
      <w:numFmt w:val="bullet"/>
      <w:lvlText w:val=""/>
      <w:lvlJc w:val="left"/>
      <w:pPr>
        <w:ind w:left="3240" w:hanging="360"/>
      </w:pPr>
      <w:rPr>
        <w:rFonts w:ascii="Wingdings" w:hAnsi="Wingdings" w:hint="default"/>
      </w:rPr>
    </w:lvl>
    <w:lvl w:ilvl="3" w:tplc="040C000F">
      <w:start w:val="1"/>
      <w:numFmt w:val="bullet"/>
      <w:lvlText w:val=""/>
      <w:lvlJc w:val="left"/>
      <w:pPr>
        <w:ind w:left="3960" w:hanging="360"/>
      </w:pPr>
      <w:rPr>
        <w:rFonts w:ascii="Symbol" w:hAnsi="Symbol" w:hint="default"/>
      </w:rPr>
    </w:lvl>
    <w:lvl w:ilvl="4" w:tplc="040C0019">
      <w:start w:val="1"/>
      <w:numFmt w:val="bullet"/>
      <w:lvlText w:val="o"/>
      <w:lvlJc w:val="left"/>
      <w:pPr>
        <w:ind w:left="4680" w:hanging="360"/>
      </w:pPr>
      <w:rPr>
        <w:rFonts w:ascii="Courier New" w:hAnsi="Courier New" w:cs="Courier New" w:hint="default"/>
      </w:rPr>
    </w:lvl>
    <w:lvl w:ilvl="5" w:tplc="040C001B">
      <w:start w:val="1"/>
      <w:numFmt w:val="bullet"/>
      <w:lvlText w:val=""/>
      <w:lvlJc w:val="left"/>
      <w:pPr>
        <w:ind w:left="5400" w:hanging="360"/>
      </w:pPr>
      <w:rPr>
        <w:rFonts w:ascii="Wingdings" w:hAnsi="Wingdings" w:hint="default"/>
      </w:rPr>
    </w:lvl>
    <w:lvl w:ilvl="6" w:tplc="040C000F">
      <w:start w:val="1"/>
      <w:numFmt w:val="bullet"/>
      <w:lvlText w:val=""/>
      <w:lvlJc w:val="left"/>
      <w:pPr>
        <w:ind w:left="6120" w:hanging="360"/>
      </w:pPr>
      <w:rPr>
        <w:rFonts w:ascii="Symbol" w:hAnsi="Symbol" w:hint="default"/>
      </w:rPr>
    </w:lvl>
    <w:lvl w:ilvl="7" w:tplc="040C0019">
      <w:start w:val="1"/>
      <w:numFmt w:val="bullet"/>
      <w:lvlText w:val="o"/>
      <w:lvlJc w:val="left"/>
      <w:pPr>
        <w:ind w:left="6840" w:hanging="360"/>
      </w:pPr>
      <w:rPr>
        <w:rFonts w:ascii="Courier New" w:hAnsi="Courier New" w:cs="Courier New" w:hint="default"/>
      </w:rPr>
    </w:lvl>
    <w:lvl w:ilvl="8" w:tplc="040C001B">
      <w:start w:val="1"/>
      <w:numFmt w:val="bullet"/>
      <w:lvlText w:val=""/>
      <w:lvlJc w:val="left"/>
      <w:pPr>
        <w:ind w:left="7560" w:hanging="360"/>
      </w:pPr>
      <w:rPr>
        <w:rFonts w:ascii="Wingdings" w:hAnsi="Wingdings" w:hint="default"/>
      </w:rPr>
    </w:lvl>
  </w:abstractNum>
  <w:abstractNum w:abstractNumId="5" w15:restartNumberingAfterBreak="0">
    <w:nsid w:val="7B4F59B8"/>
    <w:multiLevelType w:val="hybridMultilevel"/>
    <w:tmpl w:val="5C28E420"/>
    <w:lvl w:ilvl="0" w:tplc="FFFFFFFF">
      <w:start w:val="1"/>
      <w:numFmt w:val="bullet"/>
      <w:lvlText w:val=""/>
      <w:lvlJc w:val="left"/>
      <w:pPr>
        <w:ind w:left="2160" w:hanging="360"/>
      </w:pPr>
      <w:rPr>
        <w:rFonts w:ascii="Wingdings" w:hAnsi="Wingdings" w:hint="default"/>
        <w:color w:val="auto"/>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89"/>
    <w:rsid w:val="00072721"/>
    <w:rsid w:val="000F716F"/>
    <w:rsid w:val="001158DB"/>
    <w:rsid w:val="00130961"/>
    <w:rsid w:val="003017B4"/>
    <w:rsid w:val="0061126B"/>
    <w:rsid w:val="00727147"/>
    <w:rsid w:val="00A04389"/>
    <w:rsid w:val="00BE5D94"/>
    <w:rsid w:val="00D131AA"/>
    <w:rsid w:val="00D6571C"/>
    <w:rsid w:val="00D97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03003-088F-4D44-88D8-73B65D43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38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04389"/>
    <w:pPr>
      <w:jc w:val="left"/>
    </w:pPr>
    <w:rPr>
      <w:sz w:val="20"/>
    </w:rPr>
  </w:style>
  <w:style w:type="character" w:customStyle="1" w:styleId="En-tteCar">
    <w:name w:val="En-tête Car"/>
    <w:basedOn w:val="Policepardfaut"/>
    <w:link w:val="En-tte"/>
    <w:uiPriority w:val="99"/>
    <w:rsid w:val="00A04389"/>
    <w:rPr>
      <w:rFonts w:ascii="Times New Roman" w:eastAsia="Times New Roman" w:hAnsi="Times New Roman" w:cs="Times New Roman"/>
      <w:sz w:val="20"/>
      <w:szCs w:val="20"/>
      <w:lang w:eastAsia="fr-FR"/>
    </w:rPr>
  </w:style>
  <w:style w:type="character" w:styleId="Numrodepage">
    <w:name w:val="page number"/>
    <w:basedOn w:val="Policepardfaut"/>
    <w:rsid w:val="00A04389"/>
  </w:style>
  <w:style w:type="character" w:styleId="Lienhypertexte">
    <w:name w:val="Hyperlink"/>
    <w:rsid w:val="00A04389"/>
    <w:rPr>
      <w:color w:val="0000FF"/>
      <w:u w:val="single"/>
    </w:rPr>
  </w:style>
  <w:style w:type="paragraph" w:customStyle="1" w:styleId="BankNormal">
    <w:name w:val="BankNormal"/>
    <w:basedOn w:val="Normal"/>
    <w:link w:val="BankNormalChar"/>
    <w:rsid w:val="00A04389"/>
    <w:pPr>
      <w:suppressAutoHyphens w:val="0"/>
      <w:spacing w:after="240"/>
      <w:jc w:val="left"/>
    </w:pPr>
    <w:rPr>
      <w:lang w:val="en-US"/>
    </w:rPr>
  </w:style>
  <w:style w:type="paragraph" w:styleId="Paragraphedeliste">
    <w:name w:val="List Paragraph"/>
    <w:aliases w:val="Citation List,본문(내용),List Paragraph (numbered (a)),Colorful List - Accent 11,sous titre 2,Table/Figure Heading,En tête 1,List Paragraph1,Bullets,Medium Grid 1 - Accent 21,References,Use Case List Paragraph"/>
    <w:basedOn w:val="Normal"/>
    <w:link w:val="ParagraphedelisteCar"/>
    <w:uiPriority w:val="34"/>
    <w:qFormat/>
    <w:rsid w:val="00A04389"/>
    <w:pPr>
      <w:ind w:left="720"/>
      <w:contextualSpacing/>
    </w:pPr>
  </w:style>
  <w:style w:type="character" w:customStyle="1" w:styleId="ParagraphedelisteCar">
    <w:name w:val="Paragraphe de liste Car"/>
    <w:aliases w:val="Citation List Car,본문(내용) Car,List Paragraph (numbered (a)) Car,Colorful List - Accent 11 Car,sous titre 2 Car,Table/Figure Heading Car,En tête 1 Car,List Paragraph1 Car,Bullets Car,Medium Grid 1 - Accent 21 Car,References Car"/>
    <w:basedOn w:val="Policepardfaut"/>
    <w:link w:val="Paragraphedeliste"/>
    <w:uiPriority w:val="34"/>
    <w:qFormat/>
    <w:rsid w:val="00A04389"/>
    <w:rPr>
      <w:rFonts w:ascii="Times New Roman" w:eastAsia="Times New Roman" w:hAnsi="Times New Roman" w:cs="Times New Roman"/>
      <w:sz w:val="24"/>
      <w:szCs w:val="20"/>
      <w:lang w:eastAsia="fr-FR"/>
    </w:rPr>
  </w:style>
  <w:style w:type="character" w:customStyle="1" w:styleId="BankNormalChar">
    <w:name w:val="BankNormal Char"/>
    <w:link w:val="BankNormal"/>
    <w:locked/>
    <w:rsid w:val="00A04389"/>
    <w:rPr>
      <w:rFonts w:ascii="Times New Roman" w:eastAsia="Times New Roman" w:hAnsi="Times New Roman" w:cs="Times New Roman"/>
      <w:sz w:val="24"/>
      <w:szCs w:val="20"/>
      <w:lang w:val="en-US" w:eastAsia="fr-FR"/>
    </w:rPr>
  </w:style>
  <w:style w:type="character" w:customStyle="1" w:styleId="fontstyle01">
    <w:name w:val="fontstyle01"/>
    <w:basedOn w:val="Policepardfaut"/>
    <w:rsid w:val="00A04389"/>
    <w:rPr>
      <w:rFonts w:ascii="ArialNarrow-Bold" w:hAnsi="ArialNarrow-Bold" w:hint="default"/>
      <w:b/>
      <w:bCs/>
      <w:i w:val="0"/>
      <w:iCs w:val="0"/>
      <w:color w:val="000000"/>
      <w:sz w:val="32"/>
      <w:szCs w:val="32"/>
    </w:rPr>
  </w:style>
  <w:style w:type="character" w:customStyle="1" w:styleId="fontstyle21">
    <w:name w:val="fontstyle21"/>
    <w:basedOn w:val="Policepardfaut"/>
    <w:rsid w:val="00A04389"/>
    <w:rPr>
      <w:rFonts w:ascii="ArialNarrow" w:hAnsi="ArialNarrow" w:hint="default"/>
      <w:b w:val="0"/>
      <w:bCs w:val="0"/>
      <w:i w:val="0"/>
      <w:iCs w:val="0"/>
      <w:color w:val="000000"/>
      <w:sz w:val="24"/>
      <w:szCs w:val="24"/>
    </w:rPr>
  </w:style>
  <w:style w:type="character" w:customStyle="1" w:styleId="fontstyle31">
    <w:name w:val="fontstyle31"/>
    <w:basedOn w:val="Policepardfaut"/>
    <w:rsid w:val="00A04389"/>
    <w:rPr>
      <w:rFonts w:ascii="ArialNarrow-Italic" w:hAnsi="ArialNarrow-Italic" w:hint="default"/>
      <w:b w:val="0"/>
      <w:bCs w:val="0"/>
      <w:i/>
      <w:iCs/>
      <w:color w:val="000000"/>
      <w:sz w:val="24"/>
      <w:szCs w:val="24"/>
    </w:rPr>
  </w:style>
  <w:style w:type="paragraph" w:styleId="Pieddepage">
    <w:name w:val="footer"/>
    <w:basedOn w:val="Normal"/>
    <w:link w:val="PieddepageCar"/>
    <w:uiPriority w:val="99"/>
    <w:unhideWhenUsed/>
    <w:rsid w:val="000F716F"/>
    <w:pPr>
      <w:tabs>
        <w:tab w:val="center" w:pos="4536"/>
        <w:tab w:val="right" w:pos="9072"/>
      </w:tabs>
    </w:pPr>
  </w:style>
  <w:style w:type="character" w:customStyle="1" w:styleId="PieddepageCar">
    <w:name w:val="Pied de page Car"/>
    <w:basedOn w:val="Policepardfaut"/>
    <w:link w:val="Pieddepage"/>
    <w:uiPriority w:val="99"/>
    <w:rsid w:val="000F716F"/>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mpmehv@yaho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mpmehv@yahoo.com" TargetMode="External"/><Relationship Id="rId4" Type="http://schemas.openxmlformats.org/officeDocument/2006/relationships/webSettings" Target="webSettings.xml"/><Relationship Id="rId9" Type="http://schemas.openxmlformats.org/officeDocument/2006/relationships/hyperlink" Target="mailto:prmpmehv@yahoo.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1264</Words>
  <Characters>6954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2023-03-14T16:29:00Z</dcterms:created>
  <dcterms:modified xsi:type="dcterms:W3CDTF">2023-03-16T09:36:00Z</dcterms:modified>
</cp:coreProperties>
</file>