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F374F" w14:textId="77777777" w:rsidR="005130C3" w:rsidRDefault="005130C3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</w:rPr>
      </w:pPr>
      <w:r>
        <w:rPr>
          <w:bCs/>
          <w:smallCaps w:val="0"/>
        </w:rPr>
        <w:t>GENERAL PROCUREMENT NOTICE</w:t>
      </w:r>
    </w:p>
    <w:p w14:paraId="08B9D640" w14:textId="77777777" w:rsidR="005130C3" w:rsidRDefault="005130C3">
      <w:pPr>
        <w:suppressAutoHyphens/>
        <w:rPr>
          <w:rFonts w:ascii="Times New Roman" w:hAnsi="Times New Roman"/>
          <w:spacing w:val="-2"/>
        </w:rPr>
      </w:pPr>
    </w:p>
    <w:p w14:paraId="5C5D152A" w14:textId="68D2B843" w:rsidR="005F40FB" w:rsidRPr="001D5A25" w:rsidRDefault="001D5A25" w:rsidP="003818BD">
      <w:pPr>
        <w:suppressAutoHyphens/>
        <w:rPr>
          <w:rFonts w:ascii="Times New Roman" w:hAnsi="Times New Roman"/>
          <w:spacing w:val="-2"/>
          <w:sz w:val="24"/>
          <w:szCs w:val="22"/>
        </w:rPr>
      </w:pPr>
      <w:r w:rsidRPr="001D5A25">
        <w:rPr>
          <w:rFonts w:ascii="Times New Roman" w:hAnsi="Times New Roman"/>
          <w:i/>
          <w:iCs/>
          <w:spacing w:val="-2"/>
          <w:sz w:val="24"/>
          <w:szCs w:val="22"/>
        </w:rPr>
        <w:t>IsDB HQ – Saudi Arabia</w:t>
      </w:r>
    </w:p>
    <w:p w14:paraId="37E58B87" w14:textId="7FDFF684" w:rsidR="00920788" w:rsidRPr="007A56B0" w:rsidRDefault="0081297F" w:rsidP="0081297F">
      <w:pPr>
        <w:suppressAutoHyphens/>
        <w:rPr>
          <w:rFonts w:ascii="Times New Roman" w:hAnsi="Times New Roman"/>
          <w:i/>
          <w:iCs/>
          <w:spacing w:val="-2"/>
          <w:sz w:val="24"/>
          <w:szCs w:val="22"/>
        </w:rPr>
      </w:pPr>
      <w:r w:rsidRPr="007A56B0">
        <w:rPr>
          <w:rFonts w:ascii="Times New Roman" w:hAnsi="Times New Roman"/>
          <w:i/>
          <w:iCs/>
          <w:spacing w:val="-2"/>
          <w:sz w:val="24"/>
          <w:szCs w:val="22"/>
        </w:rPr>
        <w:t>DIGITAL POSTAL ISLAMIC FINANCIAL SERVICES</w:t>
      </w:r>
    </w:p>
    <w:p w14:paraId="30C062C4" w14:textId="466ACEA6" w:rsidR="005F40FB" w:rsidRPr="007A56B0" w:rsidRDefault="0081297F" w:rsidP="00920788">
      <w:pPr>
        <w:suppressAutoHyphens/>
        <w:rPr>
          <w:rFonts w:ascii="Times New Roman" w:hAnsi="Times New Roman"/>
          <w:i/>
          <w:iCs/>
          <w:spacing w:val="-2"/>
          <w:sz w:val="24"/>
          <w:szCs w:val="22"/>
        </w:rPr>
      </w:pPr>
      <w:r w:rsidRPr="007A56B0">
        <w:rPr>
          <w:rFonts w:ascii="Times New Roman" w:hAnsi="Times New Roman"/>
          <w:i/>
          <w:iCs/>
          <w:spacing w:val="-2"/>
          <w:sz w:val="24"/>
          <w:szCs w:val="22"/>
        </w:rPr>
        <w:t>ISLAMIC ECONOMICS AND FINANCE</w:t>
      </w:r>
    </w:p>
    <w:p w14:paraId="6C56C19D" w14:textId="77777777" w:rsidR="001D5A25" w:rsidRPr="007A56B0" w:rsidRDefault="001D5A25" w:rsidP="003818BD">
      <w:pPr>
        <w:suppressAutoHyphens/>
        <w:rPr>
          <w:rFonts w:ascii="Times New Roman" w:hAnsi="Times New Roman"/>
          <w:spacing w:val="-2"/>
          <w:sz w:val="24"/>
        </w:rPr>
      </w:pPr>
    </w:p>
    <w:p w14:paraId="5F99B8F7" w14:textId="0542BCEF" w:rsidR="005F40FB" w:rsidRPr="00B96F14" w:rsidRDefault="005F40FB" w:rsidP="003818BD">
      <w:pPr>
        <w:suppressAutoHyphens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>GENERAL PROCUREMENT NOTICE</w:t>
      </w:r>
    </w:p>
    <w:p w14:paraId="2759CBAD" w14:textId="7A50DFE8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Mode of Financing: </w:t>
      </w:r>
      <w:r w:rsidR="001D5A25">
        <w:rPr>
          <w:rFonts w:ascii="Times New Roman" w:hAnsi="Times New Roman"/>
          <w:i/>
          <w:iCs/>
          <w:szCs w:val="24"/>
        </w:rPr>
        <w:t>IsDB Institute Grant Financing</w:t>
      </w:r>
    </w:p>
    <w:p w14:paraId="3AE76D8F" w14:textId="65FBBCA1" w:rsidR="005F40FB" w:rsidRPr="00B96F14" w:rsidRDefault="005F40FB" w:rsidP="003818BD">
      <w:pPr>
        <w:pStyle w:val="BodyText"/>
        <w:rPr>
          <w:rFonts w:ascii="Times New Roman" w:hAnsi="Times New Roman"/>
          <w:szCs w:val="24"/>
        </w:rPr>
      </w:pPr>
      <w:r w:rsidRPr="00B96F14">
        <w:rPr>
          <w:rFonts w:ascii="Times New Roman" w:hAnsi="Times New Roman"/>
          <w:szCs w:val="24"/>
        </w:rPr>
        <w:t xml:space="preserve">Financing No. </w:t>
      </w:r>
      <w:r w:rsidR="001D5A25">
        <w:rPr>
          <w:rFonts w:ascii="Times New Roman" w:hAnsi="Times New Roman"/>
          <w:i/>
          <w:iCs/>
          <w:szCs w:val="24"/>
        </w:rPr>
        <w:t>ZZZ27</w:t>
      </w:r>
      <w:r w:rsidR="0081297F">
        <w:rPr>
          <w:rFonts w:ascii="Times New Roman" w:hAnsi="Times New Roman"/>
          <w:i/>
          <w:iCs/>
          <w:szCs w:val="24"/>
        </w:rPr>
        <w:t>3</w:t>
      </w:r>
      <w:r w:rsidR="007F2386">
        <w:rPr>
          <w:rFonts w:ascii="Times New Roman" w:hAnsi="Times New Roman"/>
          <w:i/>
          <w:iCs/>
          <w:szCs w:val="24"/>
        </w:rPr>
        <w:t>6</w:t>
      </w:r>
    </w:p>
    <w:p w14:paraId="5B62EC40" w14:textId="77777777" w:rsidR="005130C3" w:rsidRPr="00B96F14" w:rsidRDefault="005130C3">
      <w:pPr>
        <w:pStyle w:val="ChapterNumber"/>
        <w:tabs>
          <w:tab w:val="clear" w:pos="-720"/>
        </w:tabs>
        <w:rPr>
          <w:rFonts w:ascii="Times New Roman" w:hAnsi="Times New Roman"/>
          <w:spacing w:val="-2"/>
        </w:rPr>
      </w:pPr>
    </w:p>
    <w:p w14:paraId="7D0E4344" w14:textId="60F8C559" w:rsidR="005130C3" w:rsidRPr="00DE017B" w:rsidRDefault="005130C3" w:rsidP="7257D6DB">
      <w:pPr>
        <w:suppressAutoHyphens/>
        <w:jc w:val="both"/>
        <w:rPr>
          <w:rFonts w:ascii="Times New Roman" w:hAnsi="Times New Roman"/>
          <w:i/>
          <w:iCs/>
          <w:spacing w:val="-2"/>
          <w:sz w:val="24"/>
          <w:szCs w:val="24"/>
        </w:rPr>
      </w:pPr>
      <w:r w:rsidRPr="7257D6DB">
        <w:rPr>
          <w:rFonts w:ascii="Times New Roman" w:hAnsi="Times New Roman"/>
          <w:spacing w:val="-2"/>
          <w:sz w:val="24"/>
          <w:szCs w:val="24"/>
        </w:rPr>
        <w:t xml:space="preserve">The </w:t>
      </w:r>
      <w:r w:rsidR="001D5A25" w:rsidRPr="7257D6DB">
        <w:rPr>
          <w:rFonts w:ascii="Times New Roman" w:hAnsi="Times New Roman"/>
          <w:i/>
          <w:iCs/>
          <w:spacing w:val="-2"/>
          <w:sz w:val="24"/>
          <w:szCs w:val="24"/>
        </w:rPr>
        <w:t xml:space="preserve">Islamic Development Bank Institute </w:t>
      </w:r>
      <w:r w:rsidR="001D5A25" w:rsidRPr="7257D6DB">
        <w:rPr>
          <w:rFonts w:ascii="Times New Roman" w:hAnsi="Times New Roman"/>
          <w:spacing w:val="-2"/>
          <w:sz w:val="24"/>
          <w:szCs w:val="24"/>
        </w:rPr>
        <w:t>has approved grant financing</w:t>
      </w:r>
      <w:r w:rsidRPr="7257D6DB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087A5D" w:rsidRPr="7257D6DB">
        <w:rPr>
          <w:rFonts w:ascii="Times New Roman" w:hAnsi="Times New Roman"/>
          <w:spacing w:val="-2"/>
          <w:sz w:val="24"/>
          <w:szCs w:val="24"/>
        </w:rPr>
        <w:t>for the Digital Postal Islamic Financial Services project</w:t>
      </w:r>
      <w:r w:rsidRPr="7257D6DB">
        <w:rPr>
          <w:rFonts w:ascii="Times New Roman" w:hAnsi="Times New Roman"/>
          <w:spacing w:val="-2"/>
          <w:sz w:val="24"/>
          <w:szCs w:val="24"/>
        </w:rPr>
        <w:t xml:space="preserve">, and it intends to apply part of the proceeds to payments for consulting services to be procured under this project. </w:t>
      </w:r>
    </w:p>
    <w:p w14:paraId="273776C0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5D35EB9" w14:textId="592613ED" w:rsidR="005130C3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The </w:t>
      </w:r>
      <w:r w:rsidR="0033717F">
        <w:rPr>
          <w:rFonts w:ascii="Times New Roman" w:hAnsi="Times New Roman"/>
          <w:spacing w:val="-2"/>
          <w:sz w:val="24"/>
        </w:rPr>
        <w:t>scope of the project</w:t>
      </w:r>
      <w:r w:rsidRPr="00B96F14">
        <w:rPr>
          <w:rFonts w:ascii="Times New Roman" w:hAnsi="Times New Roman"/>
          <w:spacing w:val="-2"/>
          <w:sz w:val="24"/>
        </w:rPr>
        <w:t xml:space="preserve"> include</w:t>
      </w:r>
      <w:r w:rsidR="0033717F">
        <w:rPr>
          <w:rFonts w:ascii="Times New Roman" w:hAnsi="Times New Roman"/>
          <w:spacing w:val="-2"/>
          <w:sz w:val="24"/>
        </w:rPr>
        <w:t>s</w:t>
      </w:r>
      <w:r w:rsidRPr="00B96F14">
        <w:rPr>
          <w:rFonts w:ascii="Times New Roman" w:hAnsi="Times New Roman"/>
          <w:spacing w:val="-2"/>
          <w:sz w:val="24"/>
        </w:rPr>
        <w:t xml:space="preserve"> the following</w:t>
      </w:r>
      <w:r w:rsidR="001D5A25">
        <w:rPr>
          <w:rFonts w:ascii="Times New Roman" w:hAnsi="Times New Roman"/>
          <w:spacing w:val="-2"/>
          <w:sz w:val="24"/>
        </w:rPr>
        <w:t xml:space="preserve"> </w:t>
      </w:r>
      <w:r w:rsidR="00D52227">
        <w:rPr>
          <w:rFonts w:ascii="Times New Roman" w:hAnsi="Times New Roman"/>
          <w:spacing w:val="-2"/>
          <w:sz w:val="24"/>
        </w:rPr>
        <w:t>deliverables</w:t>
      </w:r>
      <w:r w:rsidR="001D5A25">
        <w:rPr>
          <w:rFonts w:ascii="Times New Roman" w:hAnsi="Times New Roman"/>
          <w:spacing w:val="-2"/>
          <w:sz w:val="24"/>
        </w:rPr>
        <w:t>: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</w:p>
    <w:p w14:paraId="523626D4" w14:textId="6E3F7A28" w:rsidR="001D5A25" w:rsidRDefault="001D5A25" w:rsidP="001F4D12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1C771A8D" w14:textId="0CCA6036" w:rsidR="001F4D12" w:rsidRPr="001F4D12" w:rsidRDefault="00D52227" w:rsidP="006638D6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Market Overview Report of Postal Services in IsDB Member Countries</w:t>
      </w:r>
    </w:p>
    <w:p w14:paraId="76D669F0" w14:textId="61FBD569" w:rsidR="00D96FC4" w:rsidRDefault="00944DFB" w:rsidP="006638D6">
      <w:pPr>
        <w:pStyle w:val="ListParagraph"/>
        <w:numPr>
          <w:ilvl w:val="0"/>
          <w:numId w:val="5"/>
        </w:numPr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report providing an o</w:t>
      </w:r>
      <w:r w:rsidR="00D96FC4" w:rsidRPr="00D96FC4">
        <w:rPr>
          <w:rFonts w:asciiTheme="majorBidi" w:hAnsiTheme="majorBidi" w:cstheme="majorBidi"/>
          <w:sz w:val="24"/>
          <w:szCs w:val="24"/>
        </w:rPr>
        <w:t>verview of the postal services landscape in IsDB Member Countries including up to date Country profiles of postal services in the 57 member countries of the IsDB</w:t>
      </w:r>
      <w:r>
        <w:rPr>
          <w:rFonts w:asciiTheme="majorBidi" w:hAnsiTheme="majorBidi" w:cstheme="majorBidi"/>
          <w:sz w:val="24"/>
          <w:szCs w:val="24"/>
        </w:rPr>
        <w:t>, as well as identification of leading institutions</w:t>
      </w:r>
      <w:r w:rsidR="00C87D46">
        <w:rPr>
          <w:rFonts w:asciiTheme="majorBidi" w:hAnsiTheme="majorBidi" w:cstheme="majorBidi"/>
          <w:sz w:val="24"/>
          <w:szCs w:val="24"/>
        </w:rPr>
        <w:t xml:space="preserve"> in terms of digitalization and financial services, and opportunities</w:t>
      </w:r>
      <w:r w:rsidR="00FE439A">
        <w:rPr>
          <w:rFonts w:asciiTheme="majorBidi" w:hAnsiTheme="majorBidi" w:cstheme="majorBidi"/>
          <w:sz w:val="24"/>
          <w:szCs w:val="24"/>
        </w:rPr>
        <w:t xml:space="preserve"> for integration of Islamic financial products and services.</w:t>
      </w:r>
    </w:p>
    <w:p w14:paraId="32CCB2E1" w14:textId="77777777" w:rsidR="001F4D12" w:rsidRPr="001F4D12" w:rsidRDefault="001F4D12" w:rsidP="006638D6">
      <w:pPr>
        <w:pStyle w:val="ListParagraph"/>
        <w:ind w:left="540"/>
        <w:rPr>
          <w:rFonts w:asciiTheme="majorBidi" w:hAnsiTheme="majorBidi" w:cstheme="majorBidi"/>
          <w:sz w:val="24"/>
          <w:szCs w:val="24"/>
        </w:rPr>
      </w:pPr>
    </w:p>
    <w:p w14:paraId="02E348AA" w14:textId="73A0D131" w:rsidR="00F822DF" w:rsidRDefault="00F822DF" w:rsidP="006638D6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822DF">
        <w:rPr>
          <w:rFonts w:asciiTheme="majorBidi" w:hAnsiTheme="majorBidi" w:cstheme="majorBidi"/>
          <w:b/>
          <w:bCs/>
          <w:sz w:val="24"/>
          <w:szCs w:val="24"/>
        </w:rPr>
        <w:t>Benchmarking Study of Operational Models and Strategies in Selected Leading Non-IsDB Member Countries</w:t>
      </w:r>
    </w:p>
    <w:p w14:paraId="78B02C09" w14:textId="428547B9" w:rsidR="00A35CA3" w:rsidRPr="00A35CA3" w:rsidRDefault="00A35CA3" w:rsidP="006638D6">
      <w:pPr>
        <w:pStyle w:val="ListParagraph"/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A35CA3">
        <w:rPr>
          <w:rFonts w:asciiTheme="majorBidi" w:hAnsiTheme="majorBidi" w:cstheme="majorBidi"/>
          <w:sz w:val="24"/>
          <w:szCs w:val="24"/>
        </w:rPr>
        <w:t>This component includes and is not limited to the following:</w:t>
      </w:r>
    </w:p>
    <w:p w14:paraId="3287C787" w14:textId="5FCFAFE0" w:rsidR="001F4D12" w:rsidRPr="00F822DF" w:rsidRDefault="009462BF" w:rsidP="006638D6">
      <w:pPr>
        <w:pStyle w:val="ListParagraph"/>
        <w:numPr>
          <w:ilvl w:val="0"/>
          <w:numId w:val="4"/>
        </w:numPr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9462BF">
        <w:rPr>
          <w:rFonts w:asciiTheme="majorBidi" w:hAnsiTheme="majorBidi" w:cstheme="majorBidi"/>
          <w:sz w:val="24"/>
          <w:szCs w:val="24"/>
          <w:lang w:val="en-US"/>
        </w:rPr>
        <w:t>Conducting a benchmarking study of best practices, innovative postal, financial services and e-commerce solutions offered by postal service providers in 12 Non-IsDB Member countries</w:t>
      </w:r>
      <w:r w:rsidR="00F83572">
        <w:rPr>
          <w:rFonts w:asciiTheme="majorBidi" w:hAnsiTheme="majorBidi" w:cstheme="majorBidi"/>
          <w:sz w:val="24"/>
          <w:szCs w:val="24"/>
          <w:lang w:val="en-US"/>
        </w:rPr>
        <w:t>, including the legal and enabling frameworks in place</w:t>
      </w:r>
      <w:r w:rsidR="00EA3994">
        <w:rPr>
          <w:rFonts w:asciiTheme="majorBidi" w:hAnsiTheme="majorBidi" w:cstheme="majorBidi"/>
          <w:sz w:val="24"/>
          <w:szCs w:val="24"/>
          <w:lang w:val="en-US"/>
        </w:rPr>
        <w:t xml:space="preserve">, operational models, strategies </w:t>
      </w:r>
      <w:r w:rsidR="00347B31">
        <w:rPr>
          <w:rFonts w:asciiTheme="majorBidi" w:hAnsiTheme="majorBidi" w:cstheme="majorBidi"/>
          <w:sz w:val="24"/>
          <w:szCs w:val="24"/>
          <w:lang w:val="en-US"/>
        </w:rPr>
        <w:t>adopted,</w:t>
      </w:r>
      <w:r w:rsidR="003F5CF1">
        <w:rPr>
          <w:rFonts w:asciiTheme="majorBidi" w:hAnsiTheme="majorBidi" w:cstheme="majorBidi"/>
          <w:sz w:val="24"/>
          <w:szCs w:val="24"/>
          <w:lang w:val="en-US"/>
        </w:rPr>
        <w:t xml:space="preserve"> and lessons learnt.</w:t>
      </w:r>
    </w:p>
    <w:p w14:paraId="1DFE594A" w14:textId="77777777" w:rsidR="001F4D12" w:rsidRPr="001F4D12" w:rsidRDefault="001F4D12" w:rsidP="006638D6">
      <w:pPr>
        <w:ind w:left="540"/>
        <w:rPr>
          <w:rFonts w:asciiTheme="majorBidi" w:hAnsiTheme="majorBidi" w:cstheme="majorBidi"/>
          <w:sz w:val="28"/>
          <w:szCs w:val="24"/>
          <w:lang w:val="en-GB"/>
        </w:rPr>
      </w:pPr>
    </w:p>
    <w:p w14:paraId="5E53606D" w14:textId="1E4091D3" w:rsidR="001B38AC" w:rsidRPr="001B38AC" w:rsidRDefault="001B38AC" w:rsidP="006638D6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1B38AC">
        <w:rPr>
          <w:rFonts w:asciiTheme="majorBidi" w:hAnsiTheme="majorBidi" w:cstheme="majorBidi"/>
          <w:b/>
          <w:bCs/>
          <w:sz w:val="24"/>
          <w:szCs w:val="24"/>
        </w:rPr>
        <w:t>Market Assessment, Operational Models and Opportunities in Selected IsDB Member Countries</w:t>
      </w:r>
    </w:p>
    <w:p w14:paraId="785270CA" w14:textId="77777777" w:rsidR="006E45CD" w:rsidRDefault="006E45CD" w:rsidP="006638D6">
      <w:pPr>
        <w:ind w:left="540"/>
        <w:jc w:val="both"/>
        <w:rPr>
          <w:rFonts w:asciiTheme="majorBidi" w:hAnsiTheme="majorBidi" w:cstheme="majorBidi"/>
          <w:sz w:val="24"/>
          <w:szCs w:val="24"/>
        </w:rPr>
      </w:pPr>
      <w:bookmarkStart w:id="0" w:name="_Hlk137109136"/>
      <w:r w:rsidRPr="006E45CD">
        <w:rPr>
          <w:rFonts w:asciiTheme="majorBidi" w:hAnsiTheme="majorBidi" w:cstheme="majorBidi"/>
          <w:sz w:val="24"/>
          <w:szCs w:val="24"/>
        </w:rPr>
        <w:t xml:space="preserve">This component includes and is not limited to the following: </w:t>
      </w:r>
    </w:p>
    <w:bookmarkEnd w:id="0"/>
    <w:p w14:paraId="018A3BE6" w14:textId="50B66B26" w:rsidR="000D0B4C" w:rsidRPr="005C4E63" w:rsidRDefault="00693295" w:rsidP="006638D6">
      <w:pPr>
        <w:pStyle w:val="ListParagraph"/>
        <w:numPr>
          <w:ilvl w:val="0"/>
          <w:numId w:val="4"/>
        </w:numPr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5C4E63">
        <w:rPr>
          <w:rFonts w:asciiTheme="majorBidi" w:hAnsiTheme="majorBidi" w:cstheme="majorBidi"/>
          <w:sz w:val="24"/>
          <w:szCs w:val="24"/>
          <w:lang w:val="en-US"/>
        </w:rPr>
        <w:t xml:space="preserve">Conducting an in-depth market assessment study </w:t>
      </w:r>
      <w:r w:rsidR="007B2DE3">
        <w:rPr>
          <w:rFonts w:asciiTheme="majorBidi" w:hAnsiTheme="majorBidi" w:cstheme="majorBidi"/>
          <w:sz w:val="24"/>
          <w:szCs w:val="24"/>
          <w:lang w:val="en-US"/>
        </w:rPr>
        <w:t>of</w:t>
      </w:r>
      <w:r w:rsidRPr="005C4E63">
        <w:rPr>
          <w:rFonts w:asciiTheme="majorBidi" w:hAnsiTheme="majorBidi" w:cstheme="majorBidi"/>
          <w:sz w:val="24"/>
          <w:szCs w:val="24"/>
          <w:lang w:val="en-US"/>
        </w:rPr>
        <w:t xml:space="preserve"> innovative postal, financial services and e-commerce solutions offered by postal service providers in 12 IsDB Member countries</w:t>
      </w:r>
      <w:r w:rsidR="0071170D" w:rsidRPr="005C4E63">
        <w:rPr>
          <w:rFonts w:asciiTheme="majorBidi" w:hAnsiTheme="majorBidi" w:cstheme="majorBidi"/>
          <w:sz w:val="24"/>
          <w:szCs w:val="24"/>
          <w:lang w:val="en-US"/>
        </w:rPr>
        <w:t xml:space="preserve">; proposal for </w:t>
      </w:r>
      <w:r w:rsidR="00837EB4" w:rsidRPr="005C4E63">
        <w:rPr>
          <w:rFonts w:asciiTheme="majorBidi" w:hAnsiTheme="majorBidi" w:cstheme="majorBidi"/>
          <w:sz w:val="24"/>
          <w:szCs w:val="24"/>
        </w:rPr>
        <w:t>Islamic Financial products and services</w:t>
      </w:r>
      <w:r w:rsidR="00E1795B">
        <w:rPr>
          <w:rFonts w:asciiTheme="majorBidi" w:hAnsiTheme="majorBidi" w:cstheme="majorBidi"/>
          <w:sz w:val="24"/>
          <w:szCs w:val="24"/>
        </w:rPr>
        <w:t xml:space="preserve"> (</w:t>
      </w:r>
      <w:r w:rsidR="00B575C1">
        <w:rPr>
          <w:rFonts w:asciiTheme="majorBidi" w:hAnsiTheme="majorBidi" w:cstheme="majorBidi"/>
          <w:sz w:val="24"/>
          <w:szCs w:val="24"/>
        </w:rPr>
        <w:t xml:space="preserve">targeting </w:t>
      </w:r>
      <w:r w:rsidR="00837EB4" w:rsidRPr="005C4E63">
        <w:rPr>
          <w:rFonts w:asciiTheme="majorBidi" w:hAnsiTheme="majorBidi" w:cstheme="majorBidi"/>
          <w:sz w:val="24"/>
          <w:szCs w:val="24"/>
        </w:rPr>
        <w:t>SMEs, Consumers and Public bodies</w:t>
      </w:r>
      <w:r w:rsidR="00B575C1">
        <w:rPr>
          <w:rFonts w:asciiTheme="majorBidi" w:hAnsiTheme="majorBidi" w:cstheme="majorBidi"/>
          <w:sz w:val="24"/>
          <w:szCs w:val="24"/>
        </w:rPr>
        <w:t>)</w:t>
      </w:r>
      <w:r w:rsidR="00837EB4" w:rsidRPr="005C4E63">
        <w:rPr>
          <w:rFonts w:asciiTheme="majorBidi" w:hAnsiTheme="majorBidi" w:cstheme="majorBidi"/>
          <w:sz w:val="24"/>
          <w:szCs w:val="24"/>
        </w:rPr>
        <w:t xml:space="preserve"> that could be introduced as part of the postal services in the selected IsDB Member countries</w:t>
      </w:r>
      <w:r w:rsidR="009E7C2D" w:rsidRPr="005C4E63">
        <w:rPr>
          <w:rFonts w:asciiTheme="majorBidi" w:hAnsiTheme="majorBidi" w:cstheme="majorBidi"/>
          <w:sz w:val="24"/>
          <w:szCs w:val="24"/>
        </w:rPr>
        <w:t>, including the use of digital technologies</w:t>
      </w:r>
      <w:r w:rsidR="005C4E63" w:rsidRPr="005C4E63">
        <w:rPr>
          <w:rFonts w:asciiTheme="majorBidi" w:hAnsiTheme="majorBidi" w:cstheme="majorBidi"/>
          <w:sz w:val="24"/>
          <w:szCs w:val="24"/>
        </w:rPr>
        <w:t xml:space="preserve">; </w:t>
      </w:r>
      <w:r w:rsidR="007B2DE3">
        <w:rPr>
          <w:rFonts w:asciiTheme="majorBidi" w:hAnsiTheme="majorBidi" w:cstheme="majorBidi"/>
          <w:sz w:val="24"/>
          <w:szCs w:val="24"/>
        </w:rPr>
        <w:t xml:space="preserve">legal and enabling frameworks required; </w:t>
      </w:r>
      <w:r w:rsidR="000D0B4C" w:rsidRPr="005C4E63">
        <w:rPr>
          <w:rFonts w:asciiTheme="majorBidi" w:hAnsiTheme="majorBidi" w:cstheme="majorBidi"/>
          <w:sz w:val="24"/>
          <w:szCs w:val="24"/>
        </w:rPr>
        <w:t>outline of a digital transformation and financial services strategy and roadmap for the postal services in each country</w:t>
      </w:r>
      <w:r w:rsidR="00E612DE">
        <w:rPr>
          <w:rFonts w:asciiTheme="majorBidi" w:hAnsiTheme="majorBidi" w:cstheme="majorBidi"/>
          <w:sz w:val="24"/>
          <w:szCs w:val="24"/>
        </w:rPr>
        <w:t>; expected costs of transformation etc</w:t>
      </w:r>
    </w:p>
    <w:p w14:paraId="2418192C" w14:textId="77777777" w:rsidR="001F4D12" w:rsidRPr="00B575C1" w:rsidRDefault="001F4D12" w:rsidP="006638D6">
      <w:pPr>
        <w:pStyle w:val="ListParagraph"/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</w:p>
    <w:p w14:paraId="02D03083" w14:textId="77777777" w:rsidR="00737AC3" w:rsidRPr="00737AC3" w:rsidRDefault="00737AC3" w:rsidP="006638D6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737AC3">
        <w:rPr>
          <w:rFonts w:asciiTheme="majorBidi" w:hAnsiTheme="majorBidi" w:cstheme="majorBidi"/>
          <w:b/>
          <w:bCs/>
          <w:sz w:val="24"/>
          <w:szCs w:val="24"/>
        </w:rPr>
        <w:t>Pilot Feasibility Study for 1-2 IsDB MCs</w:t>
      </w:r>
    </w:p>
    <w:p w14:paraId="1AB9B178" w14:textId="1813C083" w:rsidR="001F4D12" w:rsidRPr="001F4D12" w:rsidRDefault="00A92C92" w:rsidP="006638D6">
      <w:pPr>
        <w:pStyle w:val="ListParagraph"/>
        <w:numPr>
          <w:ilvl w:val="0"/>
          <w:numId w:val="4"/>
        </w:numPr>
        <w:spacing w:after="0" w:line="240" w:lineRule="auto"/>
        <w:ind w:left="540"/>
        <w:jc w:val="both"/>
        <w:rPr>
          <w:rFonts w:asciiTheme="majorBidi" w:hAnsiTheme="majorBidi" w:cstheme="majorBidi"/>
          <w:sz w:val="24"/>
          <w:szCs w:val="24"/>
        </w:rPr>
      </w:pPr>
      <w:r w:rsidRPr="00A92C92">
        <w:rPr>
          <w:rFonts w:asciiTheme="majorBidi" w:hAnsiTheme="majorBidi" w:cstheme="majorBidi"/>
          <w:sz w:val="24"/>
          <w:szCs w:val="24"/>
          <w:lang w:val="en-US"/>
        </w:rPr>
        <w:t>Conducting a pilot feasibility study for 1-2 IsDB Member countries selected amongst the 12 IsDB Member countries, identifying critical success factors, and proposing key steps</w:t>
      </w:r>
      <w:r w:rsidR="001F4D12" w:rsidRPr="001F4D12">
        <w:rPr>
          <w:rFonts w:asciiTheme="majorBidi" w:hAnsiTheme="majorBidi" w:cstheme="majorBidi"/>
          <w:sz w:val="24"/>
          <w:szCs w:val="24"/>
        </w:rPr>
        <w:t xml:space="preserve"> etc</w:t>
      </w:r>
      <w:r w:rsidR="00FC6C8B">
        <w:rPr>
          <w:rFonts w:asciiTheme="majorBidi" w:hAnsiTheme="majorBidi" w:cstheme="majorBidi"/>
          <w:sz w:val="24"/>
          <w:szCs w:val="24"/>
        </w:rPr>
        <w:t xml:space="preserve">; including development of a </w:t>
      </w:r>
      <w:r w:rsidR="00EA7DFE">
        <w:rPr>
          <w:rFonts w:asciiTheme="majorBidi" w:hAnsiTheme="majorBidi" w:cstheme="majorBidi"/>
          <w:sz w:val="24"/>
          <w:szCs w:val="24"/>
        </w:rPr>
        <w:t>high-level</w:t>
      </w:r>
      <w:r w:rsidR="00FC6C8B">
        <w:rPr>
          <w:rFonts w:asciiTheme="majorBidi" w:hAnsiTheme="majorBidi" w:cstheme="majorBidi"/>
          <w:sz w:val="24"/>
          <w:szCs w:val="24"/>
        </w:rPr>
        <w:t xml:space="preserve"> financial model</w:t>
      </w:r>
      <w:r w:rsidR="00606DA8">
        <w:rPr>
          <w:rFonts w:asciiTheme="majorBidi" w:hAnsiTheme="majorBidi" w:cstheme="majorBidi"/>
          <w:sz w:val="24"/>
          <w:szCs w:val="24"/>
        </w:rPr>
        <w:t>, proposals for resource mobilisation</w:t>
      </w:r>
      <w:r w:rsidR="001744B5">
        <w:rPr>
          <w:rFonts w:asciiTheme="majorBidi" w:hAnsiTheme="majorBidi" w:cstheme="majorBidi"/>
          <w:sz w:val="24"/>
          <w:szCs w:val="24"/>
        </w:rPr>
        <w:t>, legal and regulatory amendments, change and people strategies</w:t>
      </w:r>
      <w:r w:rsidR="008E47FB">
        <w:rPr>
          <w:rFonts w:asciiTheme="majorBidi" w:hAnsiTheme="majorBidi" w:cstheme="majorBidi"/>
          <w:sz w:val="24"/>
          <w:szCs w:val="24"/>
        </w:rPr>
        <w:t>, and detailed roadmap for transformation.</w:t>
      </w:r>
      <w:r w:rsidR="001F4D12" w:rsidRPr="001F4D12">
        <w:rPr>
          <w:rFonts w:asciiTheme="majorBidi" w:hAnsiTheme="majorBidi" w:cstheme="majorBidi"/>
          <w:sz w:val="24"/>
          <w:szCs w:val="24"/>
        </w:rPr>
        <w:t xml:space="preserve"> </w:t>
      </w:r>
    </w:p>
    <w:p w14:paraId="60D9F7B9" w14:textId="77777777" w:rsidR="001F4D12" w:rsidRPr="001F4D12" w:rsidRDefault="001F4D12" w:rsidP="006638D6">
      <w:pPr>
        <w:pStyle w:val="ListParagraph"/>
        <w:ind w:left="540"/>
        <w:rPr>
          <w:rFonts w:asciiTheme="majorBidi" w:hAnsiTheme="majorBidi" w:cstheme="majorBidi"/>
          <w:sz w:val="24"/>
          <w:szCs w:val="24"/>
        </w:rPr>
      </w:pPr>
    </w:p>
    <w:p w14:paraId="686230F4" w14:textId="77777777" w:rsidR="00446758" w:rsidRPr="00446758" w:rsidRDefault="00446758" w:rsidP="006638D6">
      <w:pPr>
        <w:pStyle w:val="ListParagraph"/>
        <w:numPr>
          <w:ilvl w:val="0"/>
          <w:numId w:val="3"/>
        </w:numPr>
        <w:spacing w:after="0" w:line="240" w:lineRule="auto"/>
        <w:ind w:left="54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446758">
        <w:rPr>
          <w:rFonts w:asciiTheme="majorBidi" w:hAnsiTheme="majorBidi" w:cstheme="majorBidi"/>
          <w:b/>
          <w:bCs/>
          <w:sz w:val="24"/>
          <w:szCs w:val="24"/>
        </w:rPr>
        <w:lastRenderedPageBreak/>
        <w:t>Knowledge Dissemination and Awareness</w:t>
      </w:r>
    </w:p>
    <w:p w14:paraId="2AC32BE1" w14:textId="3DB314F5" w:rsidR="001F4D12" w:rsidRPr="001F4D12" w:rsidRDefault="00514999" w:rsidP="006638D6">
      <w:pPr>
        <w:pStyle w:val="ListParagraph"/>
        <w:numPr>
          <w:ilvl w:val="0"/>
          <w:numId w:val="4"/>
        </w:numPr>
        <w:spacing w:after="0" w:line="240" w:lineRule="auto"/>
        <w:ind w:left="540"/>
        <w:jc w:val="both"/>
        <w:rPr>
          <w:rFonts w:asciiTheme="majorBidi" w:hAnsiTheme="majorBidi" w:cstheme="majorBidi"/>
          <w:spacing w:val="-2"/>
          <w:sz w:val="28"/>
          <w:szCs w:val="22"/>
        </w:rPr>
      </w:pPr>
      <w:bookmarkStart w:id="1" w:name="_Hlk125012672"/>
      <w:r w:rsidRPr="00514999">
        <w:rPr>
          <w:rFonts w:asciiTheme="majorBidi" w:hAnsiTheme="majorBidi" w:cstheme="majorBidi"/>
          <w:sz w:val="24"/>
          <w:szCs w:val="24"/>
        </w:rPr>
        <w:t xml:space="preserve">This component includes all knowledge dissemination and awareness activities </w:t>
      </w:r>
      <w:bookmarkEnd w:id="1"/>
      <w:r w:rsidRPr="00514999">
        <w:rPr>
          <w:rFonts w:asciiTheme="majorBidi" w:hAnsiTheme="majorBidi" w:cstheme="majorBidi"/>
          <w:sz w:val="24"/>
          <w:szCs w:val="24"/>
        </w:rPr>
        <w:t xml:space="preserve">on the benefit of the project to postal networks in IsDB Member Countries, as well as translation and printing of the reports in English, Arabic and French.  </w:t>
      </w:r>
    </w:p>
    <w:p w14:paraId="1A0F6A64" w14:textId="77777777" w:rsidR="001D5A25" w:rsidRDefault="001D5A25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49F1387B" w14:textId="018BFC73" w:rsidR="005130C3" w:rsidRPr="00B96F14" w:rsidRDefault="005130C3" w:rsidP="0065085F">
      <w:pPr>
        <w:suppressAutoHyphens/>
        <w:jc w:val="both"/>
        <w:rPr>
          <w:rFonts w:ascii="Times New Roman" w:hAnsi="Times New Roman"/>
          <w:i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Procurement of contracts financed by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</w:t>
      </w:r>
      <w:r w:rsidR="001D5A25">
        <w:rPr>
          <w:rFonts w:ascii="Times New Roman" w:hAnsi="Times New Roman"/>
          <w:spacing w:val="-2"/>
          <w:sz w:val="24"/>
        </w:rPr>
        <w:t>/Islamic Development Bank Institute</w:t>
      </w:r>
      <w:r w:rsidRPr="00B96F14">
        <w:rPr>
          <w:rFonts w:ascii="Times New Roman" w:hAnsi="Times New Roman"/>
          <w:spacing w:val="-2"/>
          <w:sz w:val="24"/>
        </w:rPr>
        <w:t xml:space="preserve"> will be conducted through the procedures as specified in the </w:t>
      </w:r>
      <w:r w:rsidR="00DF62EB" w:rsidRPr="00B96F14">
        <w:rPr>
          <w:rFonts w:ascii="Times New Roman" w:hAnsi="Times New Roman"/>
          <w:spacing w:val="-2"/>
          <w:sz w:val="24"/>
        </w:rPr>
        <w:t xml:space="preserve">Guidelines for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Procurement of Goods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,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Works</w:t>
      </w:r>
      <w:r w:rsidR="00CF1A04">
        <w:rPr>
          <w:rFonts w:ascii="Times New Roman" w:hAnsi="Times New Roman"/>
          <w:spacing w:val="-2"/>
          <w:sz w:val="24"/>
          <w:u w:val="single"/>
        </w:rPr>
        <w:t>,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and related services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</w:rPr>
        <w:t xml:space="preserve"> (</w:t>
      </w:r>
      <w:r w:rsidR="0055039A">
        <w:rPr>
          <w:rFonts w:ascii="Times New Roman" w:hAnsi="Times New Roman"/>
          <w:spacing w:val="-2"/>
          <w:sz w:val="24"/>
        </w:rPr>
        <w:t>Effective April 2019 Revised Feb 2023</w:t>
      </w:r>
      <w:r w:rsidR="001D5A25" w:rsidRPr="00B96F14">
        <w:rPr>
          <w:rFonts w:ascii="Times New Roman" w:hAnsi="Times New Roman"/>
          <w:spacing w:val="-2"/>
          <w:sz w:val="24"/>
        </w:rPr>
        <w:t>) and</w:t>
      </w:r>
      <w:r w:rsidRPr="00B96F14">
        <w:rPr>
          <w:rFonts w:ascii="Times New Roman" w:hAnsi="Times New Roman"/>
          <w:spacing w:val="-2"/>
          <w:sz w:val="24"/>
        </w:rPr>
        <w:t xml:space="preserve"> is open to all eligible </w:t>
      </w:r>
      <w:r w:rsidR="001D5A25" w:rsidRPr="00B96F14">
        <w:rPr>
          <w:rFonts w:ascii="Times New Roman" w:hAnsi="Times New Roman"/>
          <w:spacing w:val="-2"/>
          <w:sz w:val="24"/>
        </w:rPr>
        <w:t>bidders as</w:t>
      </w:r>
      <w:r w:rsidRPr="00B96F14">
        <w:rPr>
          <w:rFonts w:ascii="Times New Roman" w:hAnsi="Times New Roman"/>
          <w:spacing w:val="-2"/>
          <w:sz w:val="24"/>
        </w:rPr>
        <w:t xml:space="preserve"> defined in the guidelines.</w:t>
      </w:r>
      <w:r w:rsidRPr="00B96F14">
        <w:rPr>
          <w:rFonts w:ascii="Times New Roman" w:hAnsi="Times New Roman"/>
          <w:sz w:val="24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 xml:space="preserve">Consulting services will be selected in accordance with the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Guidelines for the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Procurement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of Consultant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 Service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 xml:space="preserve">s under Islamic Development Bank </w:t>
      </w:r>
      <w:r w:rsidR="00DB5377" w:rsidRPr="00B96F14">
        <w:rPr>
          <w:rFonts w:ascii="Times New Roman" w:hAnsi="Times New Roman"/>
          <w:spacing w:val="-2"/>
          <w:sz w:val="24"/>
          <w:u w:val="single"/>
        </w:rPr>
        <w:t xml:space="preserve">Project </w:t>
      </w:r>
      <w:r w:rsidR="00DF62EB" w:rsidRPr="00B96F14">
        <w:rPr>
          <w:rFonts w:ascii="Times New Roman" w:hAnsi="Times New Roman"/>
          <w:spacing w:val="-2"/>
          <w:sz w:val="24"/>
          <w:u w:val="single"/>
        </w:rPr>
        <w:t>Financing</w:t>
      </w:r>
      <w:r w:rsidRPr="00B96F14">
        <w:rPr>
          <w:rFonts w:ascii="Times New Roman" w:hAnsi="Times New Roman"/>
          <w:spacing w:val="-2"/>
          <w:sz w:val="24"/>
          <w:u w:val="single"/>
        </w:rPr>
        <w:t xml:space="preserve"> </w:t>
      </w:r>
      <w:r w:rsidRPr="00B96F14">
        <w:rPr>
          <w:rFonts w:ascii="Times New Roman" w:hAnsi="Times New Roman"/>
          <w:spacing w:val="-2"/>
          <w:sz w:val="24"/>
        </w:rPr>
        <w:t>(</w:t>
      </w:r>
      <w:r w:rsidR="0055039A">
        <w:rPr>
          <w:rFonts w:ascii="Times New Roman" w:hAnsi="Times New Roman"/>
          <w:spacing w:val="-2"/>
          <w:sz w:val="24"/>
        </w:rPr>
        <w:t>Effective April 2019 Revised Feb 2023</w:t>
      </w:r>
      <w:r w:rsidRPr="00B96F14">
        <w:rPr>
          <w:rFonts w:ascii="Times New Roman" w:hAnsi="Times New Roman"/>
          <w:spacing w:val="-2"/>
          <w:sz w:val="24"/>
        </w:rPr>
        <w:t>).</w:t>
      </w:r>
    </w:p>
    <w:p w14:paraId="46109402" w14:textId="77777777" w:rsidR="005130C3" w:rsidRPr="00B96F14" w:rsidRDefault="005130C3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</w:p>
    <w:p w14:paraId="050AFBF4" w14:textId="7260728F" w:rsidR="005130C3" w:rsidRPr="00B96F14" w:rsidRDefault="005130C3" w:rsidP="0065085F">
      <w:pPr>
        <w:suppressAutoHyphens/>
        <w:jc w:val="both"/>
        <w:rPr>
          <w:rFonts w:ascii="Times New Roman" w:hAnsi="Times New Roman"/>
          <w:iCs/>
          <w:spacing w:val="-2"/>
          <w:sz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Specific procurement notices for contracts to be bid under the </w:t>
      </w:r>
      <w:r w:rsidR="00DF62EB" w:rsidRPr="00B96F14">
        <w:rPr>
          <w:rFonts w:ascii="Times New Roman" w:hAnsi="Times New Roman"/>
          <w:spacing w:val="-2"/>
          <w:sz w:val="24"/>
        </w:rPr>
        <w:t>Islamic Development</w:t>
      </w:r>
      <w:r w:rsidRPr="00B96F14">
        <w:rPr>
          <w:rFonts w:ascii="Times New Roman" w:hAnsi="Times New Roman"/>
          <w:spacing w:val="-2"/>
          <w:sz w:val="24"/>
        </w:rPr>
        <w:t xml:space="preserve"> Bank’s international competitive bidding (ICB) </w:t>
      </w:r>
      <w:r w:rsidR="00DF62EB" w:rsidRPr="00B96F14">
        <w:rPr>
          <w:rFonts w:ascii="Times New Roman" w:hAnsi="Times New Roman"/>
          <w:spacing w:val="-2"/>
          <w:sz w:val="24"/>
        </w:rPr>
        <w:t xml:space="preserve">or international competitive bidding – member countries (ICB/MC) </w:t>
      </w:r>
      <w:r w:rsidRPr="00B96F14">
        <w:rPr>
          <w:rFonts w:ascii="Times New Roman" w:hAnsi="Times New Roman"/>
          <w:spacing w:val="-2"/>
          <w:sz w:val="24"/>
        </w:rPr>
        <w:t xml:space="preserve">procedures and for contracts for consultancy services will be announced, as they become available, </w:t>
      </w:r>
      <w:r w:rsidR="00CF1A04">
        <w:rPr>
          <w:rFonts w:ascii="Times New Roman" w:hAnsi="Times New Roman"/>
          <w:spacing w:val="-2"/>
          <w:sz w:val="24"/>
        </w:rPr>
        <w:t>on</w:t>
      </w:r>
      <w:r w:rsidRPr="00B96F14">
        <w:rPr>
          <w:rFonts w:ascii="Times New Roman" w:hAnsi="Times New Roman"/>
          <w:spacing w:val="-2"/>
          <w:sz w:val="24"/>
        </w:rPr>
        <w:t xml:space="preserve"> </w:t>
      </w:r>
      <w:hyperlink r:id="rId8" w:history="1"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I</w:t>
        </w:r>
        <w:r w:rsidR="00073C60" w:rsidRPr="00B96F14">
          <w:rPr>
            <w:rStyle w:val="Hyperlink"/>
            <w:rFonts w:ascii="Times New Roman" w:hAnsi="Times New Roman"/>
            <w:spacing w:val="-2"/>
            <w:sz w:val="24"/>
          </w:rPr>
          <w:t>s</w:t>
        </w:r>
        <w:r w:rsidR="00DF62EB" w:rsidRPr="00B96F14">
          <w:rPr>
            <w:rStyle w:val="Hyperlink"/>
            <w:rFonts w:ascii="Times New Roman" w:hAnsi="Times New Roman"/>
            <w:spacing w:val="-2"/>
            <w:sz w:val="24"/>
          </w:rPr>
          <w:t>DB Website</w:t>
        </w:r>
      </w:hyperlink>
      <w:r w:rsidR="0055039A">
        <w:rPr>
          <w:rFonts w:ascii="Times New Roman" w:hAnsi="Times New Roman"/>
          <w:spacing w:val="-2"/>
          <w:sz w:val="24"/>
        </w:rPr>
        <w:t>, UNDB and DG market</w:t>
      </w:r>
    </w:p>
    <w:p w14:paraId="1550C77A" w14:textId="1D36E62F" w:rsidR="00DB5377" w:rsidRPr="00B96F14" w:rsidRDefault="00DB5377" w:rsidP="00DB5377">
      <w:pPr>
        <w:spacing w:before="400" w:after="200"/>
        <w:ind w:right="200"/>
        <w:jc w:val="both"/>
        <w:rPr>
          <w:rFonts w:ascii="Arial" w:hAnsi="Arial" w:cs="Arial"/>
          <w:szCs w:val="24"/>
        </w:rPr>
      </w:pPr>
      <w:r w:rsidRPr="00B96F14">
        <w:rPr>
          <w:rFonts w:ascii="Times New Roman" w:hAnsi="Times New Roman"/>
          <w:spacing w:val="-2"/>
          <w:sz w:val="24"/>
        </w:rPr>
        <w:t xml:space="preserve">Interested eligible firms and individuals who would wish to be considered for the provision of consulting services for the </w:t>
      </w:r>
      <w:r w:rsidR="001D5A25" w:rsidRPr="00B96F14">
        <w:rPr>
          <w:rFonts w:ascii="Times New Roman" w:hAnsi="Times New Roman"/>
          <w:spacing w:val="-2"/>
          <w:sz w:val="24"/>
        </w:rPr>
        <w:t>above-mentioned</w:t>
      </w:r>
      <w:r w:rsidRPr="00B96F14">
        <w:rPr>
          <w:rFonts w:ascii="Times New Roman" w:hAnsi="Times New Roman"/>
          <w:spacing w:val="-2"/>
          <w:sz w:val="24"/>
        </w:rPr>
        <w:t xml:space="preserve"> project, or those requiring additional information, should contact the Beneficiary at the address below:</w:t>
      </w:r>
    </w:p>
    <w:p w14:paraId="570153AF" w14:textId="620D461D" w:rsidR="00DB5377" w:rsidRPr="00B96F14" w:rsidRDefault="001D5A25" w:rsidP="00DB5377">
      <w:pPr>
        <w:rPr>
          <w:rFonts w:ascii="Times New Roman" w:hAnsi="Times New Roman"/>
          <w:i/>
          <w:sz w:val="24"/>
        </w:rPr>
      </w:pPr>
      <w:r>
        <w:rPr>
          <w:i/>
        </w:rPr>
        <w:t>Islamic Development Bank Institute</w:t>
      </w:r>
    </w:p>
    <w:p w14:paraId="68F43B89" w14:textId="16EFBA47" w:rsidR="00DB5377" w:rsidRPr="00B96F14" w:rsidRDefault="00AD6056" w:rsidP="00DB5377">
      <w:pPr>
        <w:rPr>
          <w:i/>
        </w:rPr>
      </w:pPr>
      <w:r>
        <w:rPr>
          <w:i/>
        </w:rPr>
        <w:t>Attention: Corporate Performance Team</w:t>
      </w:r>
    </w:p>
    <w:p w14:paraId="7C9CE43D" w14:textId="64797C86" w:rsidR="00DB5377" w:rsidRPr="00B96F14" w:rsidRDefault="00AD6056" w:rsidP="00AD6056">
      <w:pPr>
        <w:rPr>
          <w:i/>
          <w:iCs/>
          <w:spacing w:val="-2"/>
        </w:rPr>
      </w:pPr>
      <w:r w:rsidRPr="00AD6056">
        <w:rPr>
          <w:i/>
        </w:rPr>
        <w:t>8111, King Kh</w:t>
      </w:r>
      <w:r w:rsidR="00F5133B">
        <w:rPr>
          <w:i/>
        </w:rPr>
        <w:t>a</w:t>
      </w:r>
      <w:r w:rsidRPr="00AD6056">
        <w:rPr>
          <w:i/>
        </w:rPr>
        <w:t xml:space="preserve">lid </w:t>
      </w:r>
      <w:proofErr w:type="spellStart"/>
      <w:proofErr w:type="gramStart"/>
      <w:r w:rsidRPr="00AD6056">
        <w:rPr>
          <w:i/>
        </w:rPr>
        <w:t>St.Al</w:t>
      </w:r>
      <w:proofErr w:type="spellEnd"/>
      <w:proofErr w:type="gramEnd"/>
      <w:r w:rsidRPr="00AD6056">
        <w:rPr>
          <w:i/>
        </w:rPr>
        <w:t xml:space="preserve"> </w:t>
      </w:r>
      <w:proofErr w:type="spellStart"/>
      <w:r w:rsidRPr="00AD6056">
        <w:rPr>
          <w:i/>
        </w:rPr>
        <w:t>Nuzalah</w:t>
      </w:r>
      <w:proofErr w:type="spellEnd"/>
      <w:r w:rsidRPr="00AD6056">
        <w:rPr>
          <w:i/>
        </w:rPr>
        <w:t xml:space="preserve"> Al </w:t>
      </w:r>
      <w:proofErr w:type="spellStart"/>
      <w:r w:rsidRPr="00AD6056">
        <w:rPr>
          <w:i/>
        </w:rPr>
        <w:t>Yamania</w:t>
      </w:r>
      <w:proofErr w:type="spellEnd"/>
      <w:r w:rsidRPr="00AD6056">
        <w:rPr>
          <w:i/>
        </w:rPr>
        <w:t xml:space="preserve"> Dist. Unit No. 1</w:t>
      </w:r>
      <w:r>
        <w:rPr>
          <w:i/>
        </w:rPr>
        <w:t xml:space="preserve">, </w:t>
      </w:r>
      <w:r w:rsidRPr="00AD6056">
        <w:rPr>
          <w:i/>
        </w:rPr>
        <w:t>Jeddah 22332-2444, Kingdom of Saudi Arabia</w:t>
      </w:r>
    </w:p>
    <w:p w14:paraId="68E543C5" w14:textId="673463A1" w:rsidR="00DB5377" w:rsidRPr="00B96F14" w:rsidRDefault="00AD6056" w:rsidP="00DB5377">
      <w:pPr>
        <w:tabs>
          <w:tab w:val="left" w:pos="2628"/>
        </w:tabs>
        <w:rPr>
          <w:i/>
        </w:rPr>
      </w:pPr>
      <w:r>
        <w:rPr>
          <w:i/>
        </w:rPr>
        <w:t>isdbinstitute@isdb.org</w:t>
      </w:r>
      <w:r w:rsidR="00DB5377" w:rsidRPr="00B96F14">
        <w:rPr>
          <w:i/>
        </w:rPr>
        <w:tab/>
      </w:r>
    </w:p>
    <w:p w14:paraId="6271DEA7" w14:textId="216A7A73" w:rsidR="00DB5377" w:rsidRPr="00DF62EB" w:rsidRDefault="001968DD" w:rsidP="0065085F">
      <w:pPr>
        <w:suppressAutoHyphens/>
        <w:jc w:val="both"/>
        <w:rPr>
          <w:rFonts w:ascii="Times New Roman" w:hAnsi="Times New Roman"/>
          <w:spacing w:val="-2"/>
          <w:sz w:val="24"/>
        </w:rPr>
      </w:pPr>
      <w:hyperlink r:id="rId9" w:history="1">
        <w:r w:rsidR="00AD6056" w:rsidRPr="005F5A29">
          <w:rPr>
            <w:rStyle w:val="Hyperlink"/>
            <w:rFonts w:ascii="Times New Roman" w:hAnsi="Times New Roman"/>
            <w:spacing w:val="-2"/>
            <w:sz w:val="24"/>
          </w:rPr>
          <w:t>www.isdbinstitute.org</w:t>
        </w:r>
      </w:hyperlink>
      <w:r w:rsidR="00AD6056">
        <w:rPr>
          <w:rFonts w:ascii="Times New Roman" w:hAnsi="Times New Roman"/>
          <w:spacing w:val="-2"/>
          <w:sz w:val="24"/>
        </w:rPr>
        <w:t xml:space="preserve"> </w:t>
      </w:r>
    </w:p>
    <w:sectPr w:rsidR="00DB5377" w:rsidRPr="00DF62EB" w:rsidSect="0065085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04" w:right="1800" w:bottom="1440" w:left="1800" w:header="426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ED08F" w14:textId="77777777" w:rsidR="001968DD" w:rsidRDefault="001968DD">
      <w:r>
        <w:separator/>
      </w:r>
    </w:p>
  </w:endnote>
  <w:endnote w:type="continuationSeparator" w:id="0">
    <w:p w14:paraId="249E46C0" w14:textId="77777777" w:rsidR="001968DD" w:rsidRDefault="001968DD">
      <w:r>
        <w:rPr>
          <w:sz w:val="24"/>
        </w:rPr>
        <w:t xml:space="preserve"> </w:t>
      </w:r>
    </w:p>
  </w:endnote>
  <w:endnote w:type="continuationNotice" w:id="1">
    <w:p w14:paraId="7617E1D7" w14:textId="77777777" w:rsidR="001968DD" w:rsidRDefault="001968DD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74F9" w14:textId="77777777" w:rsidR="0055039A" w:rsidRDefault="005503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96A9" w14:textId="77777777" w:rsidR="0055039A" w:rsidRDefault="0055039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04199" w14:textId="77777777" w:rsidR="0055039A" w:rsidRDefault="005503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A2093" w14:textId="77777777" w:rsidR="001968DD" w:rsidRDefault="001968DD">
      <w:r>
        <w:rPr>
          <w:sz w:val="24"/>
        </w:rPr>
        <w:separator/>
      </w:r>
    </w:p>
  </w:footnote>
  <w:footnote w:type="continuationSeparator" w:id="0">
    <w:p w14:paraId="3BD38E68" w14:textId="77777777" w:rsidR="001968DD" w:rsidRDefault="001968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12E54" w14:textId="07DAD703" w:rsidR="00BC7634" w:rsidRDefault="00BC76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744A3" wp14:editId="2E13B8FA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4ee3484dbc0faa3324c6fafa" descr="{&quot;HashCode&quot;:-1813103172,&quot;Height&quot;:841.0,&quot;Width&quot;:595.0,&quot;Placement&quot;:&quot;Header&quot;,&quot;Index&quot;:&quot;OddAndEven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7237EBC" w14:textId="49CCC560" w:rsidR="00BC7634" w:rsidRPr="00BC7634" w:rsidRDefault="00BC7634" w:rsidP="00BC7634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BC7634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744A3" id="_x0000_t202" coordsize="21600,21600" o:spt="202" path="m,l,21600r21600,l21600,xe">
              <v:stroke joinstyle="miter"/>
              <v:path gradientshapeok="t" o:connecttype="rect"/>
            </v:shapetype>
            <v:shape id="MSIPCM4ee3484dbc0faa3324c6fafa" o:spid="_x0000_s1026" type="#_x0000_t202" alt="{&quot;HashCode&quot;:-1813103172,&quot;Height&quot;:841.0,&quot;Width&quot;:595.0,&quot;Placement&quot;:&quot;Header&quot;,&quot;Index&quot;:&quot;OddAndEven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" o:allowincell="f" filled="f" stroked="f" strokeweight=".5pt">
              <v:textbox inset="20pt,0,,0">
                <w:txbxContent>
                  <w:p w14:paraId="47237EBC" w14:textId="49CCC560" w:rsidR="00BC7634" w:rsidRPr="00BC7634" w:rsidRDefault="00BC7634" w:rsidP="00BC7634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BC7634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5F557" w14:textId="4C640476" w:rsidR="00EB1398" w:rsidRDefault="00EB13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340C0B9E" wp14:editId="12143ABE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3c474f5791b09ac23de4f1ff" descr="{&quot;HashCode&quot;:-1813103172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D57EB7D" w14:textId="766BF665" w:rsidR="00EB1398" w:rsidRPr="00EB1398" w:rsidRDefault="00EB1398" w:rsidP="00EB1398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EB1398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Protected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0C0B9E" id="_x0000_t202" coordsize="21600,21600" o:spt="202" path="m,l,21600r21600,l21600,xe">
              <v:stroke joinstyle="miter"/>
              <v:path gradientshapeok="t" o:connecttype="rect"/>
            </v:shapetype>
            <v:shape id="MSIPCM3c474f5791b09ac23de4f1ff" o:spid="_x0000_s1027" type="#_x0000_t202" alt="{&quot;HashCode&quot;:-1813103172,&quot;Height&quot;:841.0,&quot;Width&quot;:595.0,&quot;Placement&quot;:&quot;Header&quot;,&quot;Index&quot;:&quot;Primary&quot;,&quot;Section&quot;:1,&quot;Top&quot;:0.0,&quot;Left&quot;:0.0}" style="position:absolute;margin-left:0;margin-top:15pt;width:595.35pt;height:21.5pt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" o:allowincell="f" filled="f" stroked="f" strokeweight=".5pt">
              <v:fill o:detectmouseclick="t"/>
              <v:textbox inset="20pt,0,,0">
                <w:txbxContent>
                  <w:p w14:paraId="0D57EB7D" w14:textId="766BF665" w:rsidR="00EB1398" w:rsidRPr="00EB1398" w:rsidRDefault="00EB1398" w:rsidP="00EB1398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EB1398">
                      <w:rPr>
                        <w:rFonts w:ascii="Calibri" w:hAnsi="Calibri" w:cs="Calibri"/>
                        <w:color w:val="000000"/>
                        <w:sz w:val="20"/>
                      </w:rPr>
                      <w:t>Protected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5913E" w14:textId="77777777" w:rsidR="0055039A" w:rsidRDefault="005503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C43B0"/>
    <w:multiLevelType w:val="hybridMultilevel"/>
    <w:tmpl w:val="CF0821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58E4147"/>
    <w:multiLevelType w:val="hybridMultilevel"/>
    <w:tmpl w:val="13BC90C0"/>
    <w:lvl w:ilvl="0" w:tplc="837CB63C">
      <w:start w:val="1"/>
      <w:numFmt w:val="upperLetter"/>
      <w:lvlText w:val="%1."/>
      <w:lvlJc w:val="left"/>
      <w:pPr>
        <w:ind w:left="108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78A6EA1"/>
    <w:multiLevelType w:val="hybridMultilevel"/>
    <w:tmpl w:val="D4928FB8"/>
    <w:lvl w:ilvl="0" w:tplc="5DA63C80">
      <w:numFmt w:val="bullet"/>
      <w:lvlText w:val="‑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41620A01"/>
    <w:multiLevelType w:val="hybridMultilevel"/>
    <w:tmpl w:val="9DA8CD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D2EFC96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E1B12"/>
    <w:multiLevelType w:val="hybridMultilevel"/>
    <w:tmpl w:val="4C26A9B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2C100A5"/>
    <w:multiLevelType w:val="hybridMultilevel"/>
    <w:tmpl w:val="E7BEF076"/>
    <w:lvl w:ilvl="0" w:tplc="5DA63C80">
      <w:numFmt w:val="bullet"/>
      <w:lvlText w:val="‑"/>
      <w:lvlJc w:val="left"/>
      <w:pPr>
        <w:ind w:left="1800" w:hanging="360"/>
      </w:pPr>
      <w:rPr>
        <w:rFonts w:ascii="Yu Gothic UI Semilight" w:eastAsia="Yu Gothic UI Semilight" w:hAnsi="Yu Gothic UI Semilight" w:hint="eastAsia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evenAndOddHeaders/>
  <w:drawingGridHorizontalSpacing w:val="110"/>
  <w:displayHorizontalDrawingGridEvery w:val="0"/>
  <w:displayVerticalDrawingGridEvery w:val="0"/>
  <w:doNotShadeFormData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Q1MTczNjMzMrcwtzBU0lEKTi0uzszPAykwqgUAzYD2iSwAAAA="/>
  </w:docVars>
  <w:rsids>
    <w:rsidRoot w:val="005130C3"/>
    <w:rsid w:val="00073C60"/>
    <w:rsid w:val="0008577E"/>
    <w:rsid w:val="00087A5D"/>
    <w:rsid w:val="0009213A"/>
    <w:rsid w:val="000D0B4C"/>
    <w:rsid w:val="000F4D9A"/>
    <w:rsid w:val="0010171D"/>
    <w:rsid w:val="001744B5"/>
    <w:rsid w:val="00190C88"/>
    <w:rsid w:val="001942C9"/>
    <w:rsid w:val="001968DD"/>
    <w:rsid w:val="001B38AC"/>
    <w:rsid w:val="001D5A25"/>
    <w:rsid w:val="001F4D12"/>
    <w:rsid w:val="001F65C4"/>
    <w:rsid w:val="002C5423"/>
    <w:rsid w:val="0033717F"/>
    <w:rsid w:val="00343FB8"/>
    <w:rsid w:val="00347B31"/>
    <w:rsid w:val="003818BD"/>
    <w:rsid w:val="003F5CF1"/>
    <w:rsid w:val="00411482"/>
    <w:rsid w:val="00446758"/>
    <w:rsid w:val="00456400"/>
    <w:rsid w:val="00457B5D"/>
    <w:rsid w:val="00472074"/>
    <w:rsid w:val="005130C3"/>
    <w:rsid w:val="00514999"/>
    <w:rsid w:val="0055039A"/>
    <w:rsid w:val="00557532"/>
    <w:rsid w:val="005C4E63"/>
    <w:rsid w:val="005D1F6B"/>
    <w:rsid w:val="005E0060"/>
    <w:rsid w:val="005F40FB"/>
    <w:rsid w:val="00606DA8"/>
    <w:rsid w:val="00633BF6"/>
    <w:rsid w:val="0065085F"/>
    <w:rsid w:val="006638D6"/>
    <w:rsid w:val="00677A84"/>
    <w:rsid w:val="00693295"/>
    <w:rsid w:val="006E45CD"/>
    <w:rsid w:val="0071170D"/>
    <w:rsid w:val="007360B0"/>
    <w:rsid w:val="00737AC3"/>
    <w:rsid w:val="007757C0"/>
    <w:rsid w:val="00784716"/>
    <w:rsid w:val="007A56B0"/>
    <w:rsid w:val="007B2DE3"/>
    <w:rsid w:val="007B7103"/>
    <w:rsid w:val="007D23F5"/>
    <w:rsid w:val="007D3AF1"/>
    <w:rsid w:val="007F2386"/>
    <w:rsid w:val="00811900"/>
    <w:rsid w:val="0081297F"/>
    <w:rsid w:val="008268E8"/>
    <w:rsid w:val="00837EB4"/>
    <w:rsid w:val="00846B37"/>
    <w:rsid w:val="008E47FB"/>
    <w:rsid w:val="008F7EA6"/>
    <w:rsid w:val="009063C5"/>
    <w:rsid w:val="00920788"/>
    <w:rsid w:val="00924F5F"/>
    <w:rsid w:val="00944DFB"/>
    <w:rsid w:val="009462BF"/>
    <w:rsid w:val="009865B1"/>
    <w:rsid w:val="009E4E88"/>
    <w:rsid w:val="009E7C2D"/>
    <w:rsid w:val="00A2771A"/>
    <w:rsid w:val="00A35CA3"/>
    <w:rsid w:val="00A54B9D"/>
    <w:rsid w:val="00A903DD"/>
    <w:rsid w:val="00A92C92"/>
    <w:rsid w:val="00A94FE4"/>
    <w:rsid w:val="00AC3470"/>
    <w:rsid w:val="00AD6056"/>
    <w:rsid w:val="00B575C1"/>
    <w:rsid w:val="00B96F14"/>
    <w:rsid w:val="00BC7634"/>
    <w:rsid w:val="00C12FE6"/>
    <w:rsid w:val="00C87D46"/>
    <w:rsid w:val="00CF1A04"/>
    <w:rsid w:val="00D04375"/>
    <w:rsid w:val="00D40631"/>
    <w:rsid w:val="00D52227"/>
    <w:rsid w:val="00D628D6"/>
    <w:rsid w:val="00D9176D"/>
    <w:rsid w:val="00D95C2C"/>
    <w:rsid w:val="00D96FC4"/>
    <w:rsid w:val="00DB5377"/>
    <w:rsid w:val="00DB62EA"/>
    <w:rsid w:val="00DB78F4"/>
    <w:rsid w:val="00DE017B"/>
    <w:rsid w:val="00DF62EB"/>
    <w:rsid w:val="00E1795B"/>
    <w:rsid w:val="00E327FB"/>
    <w:rsid w:val="00E612DE"/>
    <w:rsid w:val="00E706F3"/>
    <w:rsid w:val="00EA3994"/>
    <w:rsid w:val="00EA7DFE"/>
    <w:rsid w:val="00EB1398"/>
    <w:rsid w:val="00EC4BD3"/>
    <w:rsid w:val="00EC7758"/>
    <w:rsid w:val="00F5133B"/>
    <w:rsid w:val="00F822DF"/>
    <w:rsid w:val="00F83572"/>
    <w:rsid w:val="00FC6C8B"/>
    <w:rsid w:val="00FE439A"/>
    <w:rsid w:val="7257D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E48545"/>
  <w15:docId w15:val="{F88724C9-3367-41E9-BD87-D0D1A04C2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</w:style>
  <w:style w:type="paragraph" w:customStyle="1" w:styleId="ChapterNumber">
    <w:name w:val="ChapterNumber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pPr>
      <w:tabs>
        <w:tab w:val="left" w:pos="-720"/>
      </w:tabs>
      <w:suppressAutoHyphens/>
    </w:pPr>
  </w:style>
  <w:style w:type="paragraph" w:customStyle="1" w:styleId="TextBox">
    <w:name w:val="Text Box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semiHidden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  <w:style w:type="paragraph" w:styleId="BodyText">
    <w:name w:val="Body Text"/>
    <w:basedOn w:val="Normal"/>
    <w:link w:val="BodyTextChar"/>
    <w:pPr>
      <w:suppressAutoHyphens/>
    </w:pPr>
    <w:rPr>
      <w:spacing w:val="-2"/>
      <w:sz w:val="24"/>
    </w:r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5130C3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5F40FB"/>
    <w:rPr>
      <w:rFonts w:ascii="CG Times" w:hAnsi="CG Times"/>
      <w:spacing w:val="-2"/>
      <w:sz w:val="24"/>
    </w:rPr>
  </w:style>
  <w:style w:type="paragraph" w:styleId="ListParagraph">
    <w:name w:val="List Paragraph"/>
    <w:aliases w:val="Citation List,본문(내용),List Paragraph (numbered (a)),List Paragraph2,Text,References,سرد الفقرات,Bullets,Liste 1,Numbered List Paragraph,ReferencesCxSpLast,Medium Grid 1 - Accent 21,List Paragraph nowy,Paragraphe  revu,Paragraphe de liste1"/>
    <w:basedOn w:val="Normal"/>
    <w:link w:val="ListParagraphChar"/>
    <w:uiPriority w:val="34"/>
    <w:qFormat/>
    <w:rsid w:val="009865B1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sz w:val="20"/>
      <w:lang w:val="en-GB"/>
    </w:rPr>
  </w:style>
  <w:style w:type="character" w:customStyle="1" w:styleId="ListParagraphChar">
    <w:name w:val="List Paragraph Char"/>
    <w:aliases w:val="Citation List Char,본문(내용) Char,List Paragraph (numbered (a)) Char,List Paragraph2 Char,Text Char,References Char,سرد الفقرات Char,Bullets Char,Liste 1 Char,Numbered List Paragraph Char,ReferencesCxSpLast Char,List Paragraph nowy Char"/>
    <w:basedOn w:val="DefaultParagraphFont"/>
    <w:link w:val="ListParagraph"/>
    <w:uiPriority w:val="34"/>
    <w:qFormat/>
    <w:rsid w:val="009865B1"/>
    <w:rPr>
      <w:rFonts w:asciiTheme="minorHAnsi" w:eastAsiaTheme="minorEastAsia" w:hAnsiTheme="minorHAnsi" w:cstheme="minorBidi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6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db.org/irj/portal/anonymous?NavigationTarget=navurl://76e1dfd61777849cc88228c9bfe818e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sdbinstitute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B88C14-9115-4AE5-B46D-326BCBDB9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661</Words>
  <Characters>3773</Characters>
  <Application>Microsoft Office Word</Application>
  <DocSecurity>0</DocSecurity>
  <Lines>31</Lines>
  <Paragraphs>8</Paragraphs>
  <ScaleCrop>false</ScaleCrop>
  <Company>The World Bank</Company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GPN</dc:title>
  <dc:creator>320040</dc:creator>
  <cp:keywords>procurement, GPN, IDB</cp:keywords>
  <cp:lastModifiedBy>Mehmet Eken</cp:lastModifiedBy>
  <cp:revision>4</cp:revision>
  <cp:lastPrinted>2009-03-05T06:40:00Z</cp:lastPrinted>
  <dcterms:created xsi:type="dcterms:W3CDTF">2023-06-22T10:07:00Z</dcterms:created>
  <dcterms:modified xsi:type="dcterms:W3CDTF">2023-06-22T11:02:00Z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9f5e949f8ed1ac25b002043970577e051d12d274550ae4fbf071c677038c3c37</vt:lpwstr>
  </property>
  <property fmtid="{D5CDD505-2E9C-101B-9397-08002B2CF9AE}" pid="3" name="MSIP_Label_9ef4adf7-25a7-4f52-a61a-df7190f1d881_Enabled">
    <vt:lpwstr>true</vt:lpwstr>
  </property>
  <property fmtid="{D5CDD505-2E9C-101B-9397-08002B2CF9AE}" pid="4" name="MSIP_Label_9ef4adf7-25a7-4f52-a61a-df7190f1d881_SetDate">
    <vt:lpwstr>2023-06-22T10:27:12Z</vt:lpwstr>
  </property>
  <property fmtid="{D5CDD505-2E9C-101B-9397-08002B2CF9AE}" pid="5" name="MSIP_Label_9ef4adf7-25a7-4f52-a61a-df7190f1d881_Method">
    <vt:lpwstr>Standard</vt:lpwstr>
  </property>
  <property fmtid="{D5CDD505-2E9C-101B-9397-08002B2CF9AE}" pid="6" name="MSIP_Label_9ef4adf7-25a7-4f52-a61a-df7190f1d881_Name">
    <vt:lpwstr>Category C - Protected</vt:lpwstr>
  </property>
  <property fmtid="{D5CDD505-2E9C-101B-9397-08002B2CF9AE}" pid="7" name="MSIP_Label_9ef4adf7-25a7-4f52-a61a-df7190f1d881_SiteId">
    <vt:lpwstr>8fa69c26-409d-43e5-973c-17a8be1a7f35</vt:lpwstr>
  </property>
  <property fmtid="{D5CDD505-2E9C-101B-9397-08002B2CF9AE}" pid="8" name="MSIP_Label_9ef4adf7-25a7-4f52-a61a-df7190f1d881_ActionId">
    <vt:lpwstr>c6114b8a-0fad-4f8d-afd6-1a78d43bf1d1</vt:lpwstr>
  </property>
  <property fmtid="{D5CDD505-2E9C-101B-9397-08002B2CF9AE}" pid="9" name="MSIP_Label_9ef4adf7-25a7-4f52-a61a-df7190f1d881_ContentBits">
    <vt:lpwstr>1</vt:lpwstr>
  </property>
</Properties>
</file>