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E59C" w14:textId="77777777" w:rsidR="00F92624" w:rsidRDefault="00F92624" w:rsidP="00F92624">
      <w:pPr>
        <w:framePr w:w="1268" w:h="1110" w:hRule="exact" w:hSpace="142" w:wrap="auto" w:vAnchor="text" w:hAnchor="page" w:x="1079" w:y="1"/>
        <w:ind w:right="287"/>
        <w:rPr>
          <w:rFonts w:ascii="Book Antiqua" w:hAnsi="Book Antiqua"/>
          <w:b/>
          <w:sz w:val="22"/>
        </w:rPr>
      </w:pPr>
      <w:r w:rsidRPr="0082678F">
        <w:rPr>
          <w:rFonts w:ascii="Book Antiqua" w:hAnsi="Book Antiqua"/>
          <w:b/>
          <w:sz w:val="22"/>
        </w:rPr>
        <w:object w:dxaOrig="4545" w:dyaOrig="3705" w14:anchorId="1FA3B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1.75pt" o:ole="" fillcolor="window">
            <v:imagedata r:id="rId5" o:title=""/>
          </v:shape>
          <o:OLEObject Type="Embed" ProgID="PBrush" ShapeID="_x0000_i1025" DrawAspect="Content" ObjectID="_1756219360" r:id="rId6"/>
        </w:object>
      </w:r>
    </w:p>
    <w:p w14:paraId="27417301" w14:textId="77777777" w:rsidR="005E0740" w:rsidRPr="00B20768" w:rsidRDefault="00B76EB4" w:rsidP="002D6E1B">
      <w:pPr>
        <w:rPr>
          <w:b/>
          <w:sz w:val="28"/>
          <w:szCs w:val="28"/>
        </w:rPr>
      </w:pPr>
      <w:r>
        <w:t xml:space="preserve">                         </w:t>
      </w:r>
      <w:r w:rsidR="002C7E84">
        <w:t xml:space="preserve">        </w:t>
      </w:r>
      <w:r w:rsidR="002D6E1B">
        <w:t xml:space="preserve"> </w:t>
      </w:r>
      <w:r w:rsidR="002C7E84" w:rsidRPr="00B20768">
        <w:rPr>
          <w:b/>
        </w:rPr>
        <w:t>REPUBLIQUE DU SENEGAL</w:t>
      </w:r>
    </w:p>
    <w:p w14:paraId="14E5C555" w14:textId="77777777" w:rsidR="00F96ABA" w:rsidRPr="00F96ABA" w:rsidRDefault="00F96ABA" w:rsidP="00F96ABA">
      <w:pPr>
        <w:ind w:left="360"/>
      </w:pPr>
      <w:r>
        <w:t xml:space="preserve">                      </w:t>
      </w:r>
      <w:r w:rsidR="00FA06ED">
        <w:t xml:space="preserve">     </w:t>
      </w:r>
      <w:r w:rsidR="00EC55D8">
        <w:t xml:space="preserve">                     </w:t>
      </w:r>
      <w:r>
        <w:rPr>
          <w:rFonts w:ascii="Tahoma" w:hAnsi="Tahoma" w:cs="Tahoma"/>
          <w:noProof/>
          <w:spacing w:val="60"/>
          <w:sz w:val="44"/>
        </w:rPr>
        <w:drawing>
          <wp:inline distT="0" distB="0" distL="0" distR="0" wp14:anchorId="676812CA" wp14:editId="1EA5CA7E">
            <wp:extent cx="600075" cy="352425"/>
            <wp:effectExtent l="19050" t="0" r="9525"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srcRect/>
                    <a:stretch>
                      <a:fillRect/>
                    </a:stretch>
                  </pic:blipFill>
                  <pic:spPr bwMode="auto">
                    <a:xfrm>
                      <a:off x="0" y="0"/>
                      <a:ext cx="600075" cy="352425"/>
                    </a:xfrm>
                    <a:prstGeom prst="rect">
                      <a:avLst/>
                    </a:prstGeom>
                    <a:noFill/>
                    <a:ln w="9525">
                      <a:noFill/>
                      <a:miter lim="800000"/>
                      <a:headEnd/>
                      <a:tailEnd/>
                    </a:ln>
                  </pic:spPr>
                </pic:pic>
              </a:graphicData>
            </a:graphic>
          </wp:inline>
        </w:drawing>
      </w:r>
    </w:p>
    <w:p w14:paraId="4DD00ACC" w14:textId="77777777" w:rsidR="00F96ABA" w:rsidRDefault="00F96ABA" w:rsidP="002C7E84">
      <w:pPr>
        <w:jc w:val="both"/>
      </w:pPr>
      <w:r>
        <w:t xml:space="preserve">                                               ---------------</w:t>
      </w:r>
    </w:p>
    <w:p w14:paraId="413B0170" w14:textId="77777777" w:rsidR="00DF4B36" w:rsidRPr="002C7E84" w:rsidRDefault="00F96ABA" w:rsidP="002C7E84">
      <w:pPr>
        <w:jc w:val="both"/>
        <w:rPr>
          <w:b/>
        </w:rPr>
      </w:pPr>
      <w:r>
        <w:rPr>
          <w:sz w:val="18"/>
          <w:szCs w:val="18"/>
        </w:rPr>
        <w:t xml:space="preserve">                                                </w:t>
      </w:r>
      <w:r w:rsidR="00EC55D8">
        <w:rPr>
          <w:sz w:val="18"/>
          <w:szCs w:val="18"/>
        </w:rPr>
        <w:t>Un peuple – Un But – Une Foi</w:t>
      </w:r>
    </w:p>
    <w:p w14:paraId="0FB2EA8D" w14:textId="77777777" w:rsidR="00DF4B36" w:rsidRDefault="002D175F" w:rsidP="002D175F">
      <w:pPr>
        <w:rPr>
          <w:sz w:val="16"/>
          <w:szCs w:val="16"/>
        </w:rPr>
      </w:pPr>
      <w:r>
        <w:rPr>
          <w:sz w:val="16"/>
          <w:szCs w:val="16"/>
        </w:rPr>
        <w:t xml:space="preserve">                                                                        </w:t>
      </w:r>
      <w:r w:rsidR="00F96ABA">
        <w:rPr>
          <w:sz w:val="16"/>
          <w:szCs w:val="16"/>
        </w:rPr>
        <w:t xml:space="preserve">                                  </w:t>
      </w:r>
      <w:r>
        <w:rPr>
          <w:sz w:val="16"/>
          <w:szCs w:val="16"/>
        </w:rPr>
        <w:t xml:space="preserve">    ----------------</w:t>
      </w:r>
    </w:p>
    <w:p w14:paraId="5DDCD3ED" w14:textId="77777777" w:rsidR="00F96ABA" w:rsidRPr="003327A3" w:rsidRDefault="00F96ABA" w:rsidP="00F96ABA">
      <w:pPr>
        <w:jc w:val="center"/>
        <w:rPr>
          <w:sz w:val="16"/>
          <w:szCs w:val="16"/>
        </w:rPr>
      </w:pPr>
    </w:p>
    <w:p w14:paraId="58D1C430" w14:textId="77777777" w:rsidR="00E3314F" w:rsidRDefault="00F92624" w:rsidP="00F96ABA">
      <w:pPr>
        <w:rPr>
          <w:b/>
          <w:bCs/>
          <w:sz w:val="28"/>
          <w:szCs w:val="22"/>
        </w:rPr>
      </w:pPr>
      <w:r w:rsidRPr="00F96ABA">
        <w:rPr>
          <w:b/>
          <w:bCs/>
          <w:sz w:val="28"/>
          <w:szCs w:val="22"/>
        </w:rPr>
        <w:t xml:space="preserve">             </w:t>
      </w:r>
      <w:r w:rsidR="00DF4B36" w:rsidRPr="00F96ABA">
        <w:rPr>
          <w:b/>
          <w:bCs/>
          <w:sz w:val="28"/>
          <w:szCs w:val="22"/>
        </w:rPr>
        <w:t>MINISTERE DE L’AGRICULTURE</w:t>
      </w:r>
      <w:r w:rsidRPr="00F96ABA">
        <w:rPr>
          <w:b/>
          <w:bCs/>
          <w:sz w:val="28"/>
          <w:szCs w:val="22"/>
        </w:rPr>
        <w:t xml:space="preserve"> </w:t>
      </w:r>
      <w:r w:rsidR="00DF4B36" w:rsidRPr="00F96ABA">
        <w:rPr>
          <w:b/>
          <w:bCs/>
          <w:sz w:val="28"/>
          <w:szCs w:val="22"/>
        </w:rPr>
        <w:t>DE L’EQUIPEMENT RURAL</w:t>
      </w:r>
      <w:r w:rsidR="00E3314F">
        <w:rPr>
          <w:b/>
          <w:bCs/>
          <w:sz w:val="28"/>
          <w:szCs w:val="22"/>
        </w:rPr>
        <w:t xml:space="preserve"> ET   </w:t>
      </w:r>
    </w:p>
    <w:p w14:paraId="7BBB077B" w14:textId="51051CCC" w:rsidR="00DF4B36" w:rsidRPr="00F96ABA" w:rsidRDefault="00E3314F" w:rsidP="00F96ABA">
      <w:pPr>
        <w:rPr>
          <w:b/>
          <w:bCs/>
          <w:sz w:val="28"/>
          <w:szCs w:val="22"/>
        </w:rPr>
      </w:pPr>
      <w:r>
        <w:rPr>
          <w:b/>
          <w:bCs/>
          <w:sz w:val="28"/>
          <w:szCs w:val="22"/>
        </w:rPr>
        <w:t xml:space="preserve">                                   DE LA SOUVERAINETE ALIMENTAIRE</w:t>
      </w:r>
    </w:p>
    <w:p w14:paraId="511AF876" w14:textId="77777777" w:rsidR="00DF4B36" w:rsidRPr="003327A3" w:rsidRDefault="002D175F" w:rsidP="00DF4B36">
      <w:pPr>
        <w:jc w:val="center"/>
        <w:rPr>
          <w:b/>
          <w:bCs/>
          <w:sz w:val="22"/>
          <w:szCs w:val="22"/>
        </w:rPr>
      </w:pPr>
      <w:r>
        <w:rPr>
          <w:b/>
          <w:bCs/>
          <w:sz w:val="22"/>
          <w:szCs w:val="22"/>
        </w:rPr>
        <w:t>-------------</w:t>
      </w:r>
    </w:p>
    <w:p w14:paraId="12BAAD99" w14:textId="77777777" w:rsidR="00DF4B36" w:rsidRDefault="00DF4B36" w:rsidP="00DF4B36">
      <w:pPr>
        <w:jc w:val="center"/>
        <w:rPr>
          <w:b/>
        </w:rPr>
      </w:pPr>
      <w:r w:rsidRPr="003327A3">
        <w:rPr>
          <w:b/>
        </w:rPr>
        <w:t>I</w:t>
      </w:r>
      <w:r w:rsidR="00E32E04">
        <w:rPr>
          <w:b/>
        </w:rPr>
        <w:t xml:space="preserve">NSTITUT SENEGALAIS DE RECHERCHES AGRICOLES </w:t>
      </w:r>
      <w:r w:rsidRPr="000C659C">
        <w:rPr>
          <w:b/>
          <w:sz w:val="32"/>
          <w:szCs w:val="32"/>
        </w:rPr>
        <w:t>(</w:t>
      </w:r>
      <w:r w:rsidRPr="000C659C">
        <w:rPr>
          <w:b/>
          <w:bCs/>
          <w:sz w:val="32"/>
          <w:szCs w:val="32"/>
        </w:rPr>
        <w:t>ISRA</w:t>
      </w:r>
      <w:r w:rsidRPr="000C659C">
        <w:rPr>
          <w:b/>
          <w:sz w:val="32"/>
          <w:szCs w:val="32"/>
        </w:rPr>
        <w:t>)</w:t>
      </w:r>
    </w:p>
    <w:p w14:paraId="1EA27B2F" w14:textId="77777777" w:rsidR="00DF4B36" w:rsidRPr="003327A3" w:rsidRDefault="00C15DE6" w:rsidP="00C15DE6">
      <w:pPr>
        <w:rPr>
          <w:b/>
        </w:rPr>
      </w:pPr>
      <w:r>
        <w:rPr>
          <w:b/>
        </w:rPr>
        <w:t xml:space="preserve">                                                                    </w:t>
      </w:r>
      <w:r w:rsidR="0048050D">
        <w:rPr>
          <w:b/>
        </w:rPr>
        <w:t xml:space="preserve">     </w:t>
      </w:r>
      <w:r w:rsidR="007B0B82">
        <w:rPr>
          <w:b/>
        </w:rPr>
        <w:t xml:space="preserve"> </w:t>
      </w:r>
      <w:r>
        <w:rPr>
          <w:b/>
        </w:rPr>
        <w:t>-----------</w:t>
      </w:r>
    </w:p>
    <w:p w14:paraId="5A5C812E" w14:textId="12192365" w:rsidR="00CD0AFC" w:rsidRDefault="00802D74" w:rsidP="00CD0AFC">
      <w:pPr>
        <w:jc w:val="center"/>
        <w:rPr>
          <w:b/>
          <w:sz w:val="32"/>
          <w:szCs w:val="32"/>
        </w:rPr>
      </w:pPr>
      <w:r>
        <w:rPr>
          <w:b/>
          <w:sz w:val="32"/>
          <w:szCs w:val="32"/>
        </w:rPr>
        <w:t>GESTION 202</w:t>
      </w:r>
      <w:r w:rsidR="00835369">
        <w:rPr>
          <w:b/>
          <w:sz w:val="32"/>
          <w:szCs w:val="32"/>
        </w:rPr>
        <w:t>3</w:t>
      </w:r>
    </w:p>
    <w:p w14:paraId="1FE81008" w14:textId="77777777" w:rsidR="00060331" w:rsidRDefault="00060331" w:rsidP="00060331">
      <w:pPr>
        <w:ind w:right="72"/>
        <w:jc w:val="center"/>
        <w:rPr>
          <w:rFonts w:ascii="CG Times" w:hAnsi="CG Times"/>
          <w:b/>
          <w:sz w:val="28"/>
          <w:szCs w:val="28"/>
        </w:rPr>
      </w:pPr>
      <w:r w:rsidRPr="00517E16">
        <w:rPr>
          <w:rFonts w:ascii="CG Times" w:hAnsi="CG Times"/>
          <w:b/>
          <w:sz w:val="28"/>
          <w:szCs w:val="28"/>
        </w:rPr>
        <w:t>AVIS GENERAL DE PASSATION DES MARCHES (AGPM)</w:t>
      </w:r>
      <w:r>
        <w:rPr>
          <w:rFonts w:ascii="CG Times" w:hAnsi="CG Times"/>
          <w:b/>
          <w:sz w:val="28"/>
          <w:szCs w:val="28"/>
        </w:rPr>
        <w:t xml:space="preserve"> </w:t>
      </w:r>
    </w:p>
    <w:p w14:paraId="76EDCA2B" w14:textId="2D7DE9BF" w:rsidR="00060331" w:rsidRPr="00517E16" w:rsidRDefault="00060331" w:rsidP="00060331">
      <w:pPr>
        <w:ind w:right="72"/>
        <w:jc w:val="center"/>
        <w:rPr>
          <w:rFonts w:ascii="CG Times" w:hAnsi="CG Times"/>
          <w:sz w:val="28"/>
          <w:szCs w:val="28"/>
        </w:rPr>
      </w:pPr>
      <w:r>
        <w:rPr>
          <w:rFonts w:ascii="CG Times" w:hAnsi="CG Times"/>
          <w:b/>
          <w:sz w:val="28"/>
          <w:szCs w:val="28"/>
        </w:rPr>
        <w:t>FINANCES PA</w:t>
      </w:r>
      <w:r w:rsidR="00E945D0">
        <w:rPr>
          <w:rFonts w:ascii="CG Times" w:hAnsi="CG Times"/>
          <w:b/>
          <w:sz w:val="28"/>
          <w:szCs w:val="28"/>
        </w:rPr>
        <w:t>R</w:t>
      </w:r>
      <w:r>
        <w:rPr>
          <w:rFonts w:ascii="CG Times" w:hAnsi="CG Times"/>
          <w:b/>
          <w:sz w:val="28"/>
          <w:szCs w:val="28"/>
        </w:rPr>
        <w:t xml:space="preserve"> LA </w:t>
      </w:r>
      <w:proofErr w:type="spellStart"/>
      <w:r>
        <w:rPr>
          <w:rFonts w:ascii="CG Times" w:hAnsi="CG Times"/>
          <w:b/>
          <w:sz w:val="28"/>
          <w:szCs w:val="28"/>
        </w:rPr>
        <w:t>BIsD</w:t>
      </w:r>
      <w:proofErr w:type="spellEnd"/>
    </w:p>
    <w:p w14:paraId="1B71B960" w14:textId="77777777" w:rsidR="00060331" w:rsidRDefault="00060331" w:rsidP="00060331">
      <w:pPr>
        <w:ind w:right="72"/>
        <w:rPr>
          <w:rFonts w:ascii="CG Times" w:hAnsi="CG Times"/>
        </w:rPr>
      </w:pPr>
    </w:p>
    <w:p w14:paraId="74E16520" w14:textId="77777777" w:rsidR="00060331" w:rsidRPr="00060331" w:rsidRDefault="00060331" w:rsidP="00060331">
      <w:pPr>
        <w:ind w:right="72"/>
        <w:rPr>
          <w:rFonts w:ascii="CG Times" w:hAnsi="CG Times"/>
          <w:b/>
          <w:bCs/>
          <w:iCs/>
        </w:rPr>
      </w:pPr>
      <w:r w:rsidRPr="00060331">
        <w:rPr>
          <w:rFonts w:ascii="CG Times" w:hAnsi="CG Times"/>
          <w:b/>
          <w:bCs/>
          <w:iCs/>
        </w:rPr>
        <w:t>SENEGAL</w:t>
      </w:r>
    </w:p>
    <w:p w14:paraId="05F160E2" w14:textId="77777777" w:rsidR="00060331" w:rsidRPr="00060331" w:rsidRDefault="00060331" w:rsidP="00060331">
      <w:pPr>
        <w:ind w:right="72"/>
        <w:rPr>
          <w:rFonts w:ascii="CG Times" w:hAnsi="CG Times"/>
          <w:b/>
          <w:bCs/>
          <w:i/>
        </w:rPr>
      </w:pPr>
      <w:r w:rsidRPr="00060331">
        <w:rPr>
          <w:rFonts w:ascii="CG Times" w:hAnsi="CG Times"/>
          <w:b/>
          <w:bCs/>
          <w:i/>
        </w:rPr>
        <w:t xml:space="preserve">PROGRAMME REGIONAL DE CARTOGRAPHIE DE LA FERTILITE DES SOLS </w:t>
      </w:r>
      <w:r w:rsidRPr="00060331">
        <w:rPr>
          <w:rFonts w:ascii="Arial" w:eastAsia="Arial" w:hAnsi="Arial" w:cs="Arial"/>
          <w:b/>
          <w:bCs/>
          <w:sz w:val="20"/>
          <w:szCs w:val="20"/>
        </w:rPr>
        <w:t>(RSFMP)</w:t>
      </w:r>
      <w:r w:rsidRPr="00060331">
        <w:rPr>
          <w:rFonts w:ascii="CG Times" w:hAnsi="CG Times"/>
          <w:b/>
          <w:bCs/>
          <w:i/>
        </w:rPr>
        <w:t xml:space="preserve"> DE L’AFRIQUE DE L’OUEST- REPUBLIQUE DU SENEGAL</w:t>
      </w:r>
    </w:p>
    <w:p w14:paraId="181E7314" w14:textId="77777777" w:rsidR="00060331" w:rsidRPr="00060331" w:rsidRDefault="00060331" w:rsidP="00060331">
      <w:pPr>
        <w:ind w:right="72"/>
        <w:rPr>
          <w:rFonts w:ascii="CG Times" w:hAnsi="CG Times"/>
          <w:b/>
          <w:bCs/>
          <w:iCs/>
        </w:rPr>
      </w:pPr>
      <w:r w:rsidRPr="00060331">
        <w:rPr>
          <w:rFonts w:ascii="CG Times" w:hAnsi="CG Times"/>
          <w:b/>
          <w:bCs/>
          <w:iCs/>
        </w:rPr>
        <w:t>AGRICULTURE</w:t>
      </w:r>
    </w:p>
    <w:p w14:paraId="633189D9" w14:textId="77777777" w:rsidR="00060331" w:rsidRPr="00060331" w:rsidRDefault="00060331" w:rsidP="00060331">
      <w:pPr>
        <w:ind w:right="72"/>
        <w:rPr>
          <w:rFonts w:ascii="CG Times" w:hAnsi="CG Times"/>
          <w:b/>
          <w:bCs/>
          <w:iCs/>
        </w:rPr>
      </w:pPr>
      <w:r w:rsidRPr="00060331">
        <w:rPr>
          <w:rFonts w:ascii="CG Times" w:hAnsi="CG Times"/>
          <w:b/>
          <w:bCs/>
          <w:iCs/>
        </w:rPr>
        <w:t>ACCORD DE PRET DE LA BID</w:t>
      </w:r>
    </w:p>
    <w:p w14:paraId="7E8243E3" w14:textId="77777777" w:rsidR="00060331" w:rsidRPr="00060331" w:rsidRDefault="00060331" w:rsidP="00060331">
      <w:pPr>
        <w:ind w:right="72"/>
        <w:rPr>
          <w:rFonts w:ascii="CG Times" w:hAnsi="CG Times"/>
          <w:b/>
          <w:bCs/>
          <w:iCs/>
        </w:rPr>
      </w:pPr>
      <w:r w:rsidRPr="00060331">
        <w:rPr>
          <w:rFonts w:ascii="CG Times" w:hAnsi="CG Times"/>
          <w:b/>
          <w:bCs/>
          <w:iCs/>
        </w:rPr>
        <w:t>SEN 1049</w:t>
      </w:r>
    </w:p>
    <w:p w14:paraId="6673578B" w14:textId="77777777" w:rsidR="00060331" w:rsidRDefault="00060331" w:rsidP="00060331">
      <w:pPr>
        <w:spacing w:after="120"/>
        <w:ind w:right="72"/>
        <w:rPr>
          <w:rFonts w:ascii="CG Times" w:hAnsi="CG Times"/>
        </w:rPr>
      </w:pPr>
    </w:p>
    <w:p w14:paraId="71F267E7" w14:textId="77777777" w:rsidR="00060331" w:rsidRPr="00F938D9" w:rsidRDefault="00060331" w:rsidP="00060331">
      <w:pPr>
        <w:spacing w:line="360" w:lineRule="auto"/>
        <w:ind w:right="74"/>
        <w:jc w:val="both"/>
        <w:rPr>
          <w:i/>
          <w:iCs/>
        </w:rPr>
      </w:pPr>
      <w:r>
        <w:rPr>
          <w:rFonts w:ascii="CG Times" w:hAnsi="CG Times"/>
        </w:rPr>
        <w:t xml:space="preserve">L’Institut Sénégalais de Recherches Agricoles (ISRA) </w:t>
      </w:r>
      <w:r w:rsidRPr="00D4629B">
        <w:rPr>
          <w:rFonts w:ascii="CG Times" w:hAnsi="CG Times"/>
        </w:rPr>
        <w:t>a obtenu</w:t>
      </w:r>
      <w:r>
        <w:rPr>
          <w:rFonts w:ascii="CG Times" w:hAnsi="CG Times"/>
        </w:rPr>
        <w:t xml:space="preserve"> un financement d’un montant de DEUX MILLIONS de dollars américains sous la forme d’accord de prêt de la Banque Islamique de Développement (BID) pour financer le Programme Régional de Cartographie de la Fertilité des Sols (RSFMP) de l’Afrique de l’Ouest </w:t>
      </w:r>
      <w:r w:rsidRPr="00F938D9">
        <w:t xml:space="preserve">et à l’intention d’utiliser une partie de ce </w:t>
      </w:r>
      <w:r w:rsidRPr="00F938D9">
        <w:rPr>
          <w:iCs/>
        </w:rPr>
        <w:t>financement</w:t>
      </w:r>
      <w:r w:rsidRPr="00F938D9">
        <w:t xml:space="preserve"> pour effectuer des paiements </w:t>
      </w:r>
      <w:r>
        <w:t xml:space="preserve">pour l’acquisition de biens, travaux et services connexes et de services de consultants nécessaires dans le cadre de ce projet. </w:t>
      </w:r>
      <w:r w:rsidRPr="00F938D9">
        <w:t xml:space="preserve"> </w:t>
      </w:r>
    </w:p>
    <w:p w14:paraId="7B890525" w14:textId="77777777" w:rsidR="00060331" w:rsidRDefault="00060331" w:rsidP="00060331">
      <w:pPr>
        <w:spacing w:line="360" w:lineRule="auto"/>
        <w:ind w:right="72"/>
        <w:rPr>
          <w:rFonts w:ascii="CG Times" w:hAnsi="CG Times"/>
        </w:rPr>
      </w:pPr>
      <w:r>
        <w:rPr>
          <w:rFonts w:ascii="CG Times" w:hAnsi="CG Times"/>
        </w:rPr>
        <w:t xml:space="preserve">Le projet comprend les composantes suivantes : </w:t>
      </w:r>
    </w:p>
    <w:p w14:paraId="529762F0" w14:textId="77777777" w:rsidR="00060331" w:rsidRDefault="00060331" w:rsidP="00060331">
      <w:pPr>
        <w:spacing w:line="360" w:lineRule="auto"/>
        <w:ind w:right="72"/>
        <w:rPr>
          <w:rFonts w:ascii="CG Times" w:hAnsi="CG Times"/>
        </w:rPr>
      </w:pPr>
      <w:r w:rsidRPr="00105246">
        <w:rPr>
          <w:rFonts w:ascii="CG Times" w:hAnsi="CG Times"/>
          <w:b/>
        </w:rPr>
        <w:t>Composante A :</w:t>
      </w:r>
      <w:r>
        <w:rPr>
          <w:rFonts w:ascii="CG Times" w:hAnsi="CG Times"/>
        </w:rPr>
        <w:t xml:space="preserve"> Cartographie des principales propriétés </w:t>
      </w:r>
      <w:proofErr w:type="spellStart"/>
      <w:r>
        <w:rPr>
          <w:rFonts w:ascii="CG Times" w:hAnsi="CG Times"/>
        </w:rPr>
        <w:t>physio-chimiques</w:t>
      </w:r>
      <w:proofErr w:type="spellEnd"/>
      <w:r>
        <w:rPr>
          <w:rFonts w:ascii="CG Times" w:hAnsi="CG Times"/>
        </w:rPr>
        <w:t xml:space="preserve"> du sol</w:t>
      </w:r>
    </w:p>
    <w:p w14:paraId="14BB6CD4" w14:textId="77777777" w:rsidR="00060331" w:rsidRDefault="00060331" w:rsidP="00060331">
      <w:pPr>
        <w:spacing w:line="360" w:lineRule="auto"/>
        <w:ind w:right="72"/>
        <w:rPr>
          <w:rFonts w:ascii="CG Times" w:hAnsi="CG Times"/>
        </w:rPr>
      </w:pPr>
      <w:r w:rsidRPr="00105246">
        <w:rPr>
          <w:rFonts w:ascii="CG Times" w:hAnsi="CG Times"/>
          <w:b/>
        </w:rPr>
        <w:t>Composante B :</w:t>
      </w:r>
      <w:r>
        <w:rPr>
          <w:rFonts w:ascii="CG Times" w:hAnsi="CG Times"/>
        </w:rPr>
        <w:t xml:space="preserve"> Echantillonnage et analyse du sol</w:t>
      </w:r>
    </w:p>
    <w:p w14:paraId="754ABA1C" w14:textId="77777777" w:rsidR="00060331" w:rsidRDefault="00060331" w:rsidP="00060331">
      <w:pPr>
        <w:spacing w:line="360" w:lineRule="auto"/>
        <w:ind w:right="72"/>
        <w:rPr>
          <w:rFonts w:ascii="CG Times" w:hAnsi="CG Times"/>
        </w:rPr>
      </w:pPr>
      <w:r w:rsidRPr="00105246">
        <w:rPr>
          <w:rFonts w:ascii="CG Times" w:hAnsi="CG Times"/>
          <w:b/>
        </w:rPr>
        <w:t>Composante C :</w:t>
      </w:r>
      <w:r>
        <w:rPr>
          <w:rFonts w:ascii="CG Times" w:hAnsi="CG Times"/>
        </w:rPr>
        <w:t xml:space="preserve"> Plan expérimental (randomisation contrôlée) sur la réponse des cultures aux engrais</w:t>
      </w:r>
    </w:p>
    <w:p w14:paraId="4ED2ADBF" w14:textId="77777777" w:rsidR="00060331" w:rsidRDefault="00060331" w:rsidP="00060331">
      <w:pPr>
        <w:spacing w:line="360" w:lineRule="auto"/>
        <w:ind w:right="72"/>
        <w:rPr>
          <w:rFonts w:ascii="CG Times" w:hAnsi="CG Times"/>
        </w:rPr>
      </w:pPr>
      <w:r w:rsidRPr="00105246">
        <w:rPr>
          <w:rFonts w:ascii="CG Times" w:hAnsi="CG Times"/>
          <w:b/>
        </w:rPr>
        <w:t>Composante D :</w:t>
      </w:r>
      <w:r>
        <w:rPr>
          <w:rFonts w:ascii="CG Times" w:hAnsi="CG Times"/>
        </w:rPr>
        <w:t xml:space="preserve"> Renforcement des capacités et formation</w:t>
      </w:r>
    </w:p>
    <w:p w14:paraId="03604FAF" w14:textId="77777777" w:rsidR="00060331" w:rsidRDefault="00060331" w:rsidP="00060331">
      <w:pPr>
        <w:spacing w:line="360" w:lineRule="auto"/>
        <w:ind w:right="72"/>
        <w:rPr>
          <w:rFonts w:ascii="CG Times" w:hAnsi="CG Times"/>
        </w:rPr>
      </w:pPr>
      <w:r w:rsidRPr="00105246">
        <w:rPr>
          <w:rFonts w:ascii="CG Times" w:hAnsi="CG Times"/>
          <w:b/>
        </w:rPr>
        <w:t>Composante E :</w:t>
      </w:r>
      <w:r>
        <w:rPr>
          <w:rFonts w:ascii="CG Times" w:hAnsi="CG Times"/>
        </w:rPr>
        <w:t xml:space="preserve"> Gestion du projet</w:t>
      </w:r>
    </w:p>
    <w:p w14:paraId="20DD9124" w14:textId="77777777" w:rsidR="00060331" w:rsidRDefault="00060331" w:rsidP="00060331">
      <w:pPr>
        <w:spacing w:line="360" w:lineRule="auto"/>
        <w:ind w:right="72"/>
        <w:rPr>
          <w:rFonts w:ascii="CG Times" w:hAnsi="CG Times"/>
        </w:rPr>
      </w:pPr>
      <w:r w:rsidRPr="00105246">
        <w:rPr>
          <w:rFonts w:ascii="CG Times" w:hAnsi="CG Times"/>
          <w:b/>
        </w:rPr>
        <w:t>Composante F :</w:t>
      </w:r>
      <w:r>
        <w:rPr>
          <w:rFonts w:ascii="CG Times" w:hAnsi="CG Times"/>
        </w:rPr>
        <w:t xml:space="preserve"> Audit</w:t>
      </w:r>
    </w:p>
    <w:p w14:paraId="6F15DE21" w14:textId="77777777" w:rsidR="00060331" w:rsidRDefault="00060331" w:rsidP="00060331">
      <w:pPr>
        <w:spacing w:line="360" w:lineRule="auto"/>
        <w:ind w:right="72"/>
        <w:rPr>
          <w:rFonts w:ascii="CG Times" w:hAnsi="CG Times"/>
        </w:rPr>
      </w:pPr>
      <w:r>
        <w:rPr>
          <w:rFonts w:ascii="CG Times" w:hAnsi="CG Times"/>
        </w:rPr>
        <w:t>Et nécessitera l’acquisition de biens, travaux et services suivants :</w:t>
      </w:r>
    </w:p>
    <w:p w14:paraId="34F77FD7" w14:textId="77777777" w:rsidR="00060331" w:rsidRDefault="00060331" w:rsidP="00060331">
      <w:pPr>
        <w:spacing w:line="360" w:lineRule="auto"/>
        <w:ind w:right="72" w:firstLine="720"/>
        <w:rPr>
          <w:rFonts w:ascii="CG Times" w:hAnsi="CG Times"/>
        </w:rPr>
      </w:pPr>
      <w:r>
        <w:rPr>
          <w:rFonts w:ascii="CG Times" w:hAnsi="CG Times"/>
        </w:rPr>
        <w:t>- Acquisition de matériel informatique (d’ordinateurs, de tablettes, de logiciels et de GPS) : Consultation de Fournisseurs (CF)</w:t>
      </w:r>
    </w:p>
    <w:p w14:paraId="15F02BA8" w14:textId="77777777" w:rsidR="00060331" w:rsidRDefault="00060331" w:rsidP="00060331">
      <w:pPr>
        <w:spacing w:line="360" w:lineRule="auto"/>
        <w:ind w:right="72" w:firstLine="720"/>
        <w:rPr>
          <w:rFonts w:ascii="CG Times" w:hAnsi="CG Times"/>
        </w:rPr>
      </w:pPr>
      <w:r>
        <w:rPr>
          <w:rFonts w:ascii="CG Times" w:hAnsi="CG Times"/>
        </w:rPr>
        <w:t>- Acquisition d’intrants chimiques (engrais, produits phytosanitaires, produits chimiques de laboratoire) : Appel d’offres National (AON)</w:t>
      </w:r>
    </w:p>
    <w:p w14:paraId="39C7899F" w14:textId="77777777" w:rsidR="00060331" w:rsidRDefault="00060331" w:rsidP="00060331">
      <w:pPr>
        <w:spacing w:line="360" w:lineRule="auto"/>
        <w:ind w:right="72" w:firstLine="720"/>
        <w:rPr>
          <w:rFonts w:ascii="CG Times" w:hAnsi="CG Times"/>
        </w:rPr>
      </w:pPr>
      <w:r>
        <w:rPr>
          <w:rFonts w:ascii="CG Times" w:hAnsi="CG Times"/>
        </w:rPr>
        <w:lastRenderedPageBreak/>
        <w:t>- Acquisition de semence : Appel d’Offre National (AON)</w:t>
      </w:r>
    </w:p>
    <w:p w14:paraId="36F77E71" w14:textId="77777777" w:rsidR="00060331" w:rsidRDefault="00060331" w:rsidP="00060331">
      <w:pPr>
        <w:spacing w:line="360" w:lineRule="auto"/>
        <w:ind w:right="72" w:firstLine="720"/>
        <w:rPr>
          <w:rFonts w:ascii="CG Times" w:hAnsi="CG Times"/>
        </w:rPr>
      </w:pPr>
      <w:r>
        <w:rPr>
          <w:rFonts w:ascii="CG Times" w:hAnsi="CG Times"/>
        </w:rPr>
        <w:t>- Acquisition de véhicules : Consultation de Fournisseurs (CF)</w:t>
      </w:r>
    </w:p>
    <w:p w14:paraId="4FBA7B2F" w14:textId="77777777" w:rsidR="00060331" w:rsidRDefault="00060331" w:rsidP="00060331">
      <w:pPr>
        <w:spacing w:line="360" w:lineRule="auto"/>
        <w:ind w:right="72" w:firstLine="720"/>
        <w:rPr>
          <w:rFonts w:ascii="CG Times" w:hAnsi="CG Times"/>
        </w:rPr>
      </w:pPr>
      <w:r>
        <w:rPr>
          <w:rFonts w:ascii="CG Times" w:hAnsi="CG Times"/>
        </w:rPr>
        <w:t>- Travaux de réhabilitation des laboratoires sols-eaux-plantes du CRA de St Louis et du CNRA de Bambey : Appel d’Offre National (AON)</w:t>
      </w:r>
    </w:p>
    <w:p w14:paraId="40149483" w14:textId="77777777" w:rsidR="00060331" w:rsidRDefault="00060331" w:rsidP="00060331">
      <w:pPr>
        <w:spacing w:line="360" w:lineRule="auto"/>
        <w:ind w:right="72" w:firstLine="720"/>
        <w:rPr>
          <w:rFonts w:ascii="CG Times" w:hAnsi="CG Times"/>
        </w:rPr>
      </w:pPr>
      <w:r>
        <w:rPr>
          <w:rFonts w:ascii="CG Times" w:hAnsi="CG Times"/>
        </w:rPr>
        <w:t>- Recrutement d’un Cabinet d’Audit : Sélection au moindre coût réservé aux cabinets locaux (SMC/CL)</w:t>
      </w:r>
    </w:p>
    <w:p w14:paraId="709248A4" w14:textId="77777777" w:rsidR="00060331" w:rsidRDefault="00060331" w:rsidP="00060331">
      <w:pPr>
        <w:spacing w:line="360" w:lineRule="auto"/>
        <w:ind w:right="72"/>
        <w:jc w:val="both"/>
        <w:rPr>
          <w:rFonts w:ascii="CG Times" w:hAnsi="CG Times"/>
        </w:rPr>
      </w:pPr>
      <w:r>
        <w:rPr>
          <w:rFonts w:ascii="CG Times" w:hAnsi="CG Times"/>
        </w:rPr>
        <w:t xml:space="preserve">Les acquisitions </w:t>
      </w:r>
      <w:r w:rsidRPr="009F6C07">
        <w:rPr>
          <w:rFonts w:ascii="CG Times" w:hAnsi="CG Times"/>
        </w:rPr>
        <w:t>financé</w:t>
      </w:r>
      <w:r>
        <w:rPr>
          <w:rFonts w:ascii="CG Times" w:hAnsi="CG Times"/>
        </w:rPr>
        <w:t>e</w:t>
      </w:r>
      <w:r w:rsidRPr="009F6C07">
        <w:rPr>
          <w:rFonts w:ascii="CG Times" w:hAnsi="CG Times"/>
        </w:rPr>
        <w:t>s par la Banque Islamique de Développement</w:t>
      </w:r>
      <w:r>
        <w:rPr>
          <w:rFonts w:ascii="CG Times" w:hAnsi="CG Times"/>
        </w:rPr>
        <w:t xml:space="preserve"> seront effectuées conformément aux </w:t>
      </w:r>
      <w:r w:rsidRPr="009F6C07">
        <w:rPr>
          <w:rFonts w:ascii="CG Times" w:hAnsi="CG Times"/>
        </w:rPr>
        <w:t>Directives</w:t>
      </w:r>
      <w:r>
        <w:rPr>
          <w:rFonts w:ascii="CG Times" w:hAnsi="CG Times"/>
        </w:rPr>
        <w:t xml:space="preserve"> pour l’acquisition de Biens, Travaux et services connexes</w:t>
      </w:r>
      <w:r w:rsidRPr="009F6C07">
        <w:rPr>
          <w:rFonts w:ascii="CG Times" w:hAnsi="CG Times"/>
        </w:rPr>
        <w:t xml:space="preserve"> </w:t>
      </w:r>
      <w:r>
        <w:rPr>
          <w:rFonts w:ascii="CG Times" w:hAnsi="CG Times"/>
        </w:rPr>
        <w:t xml:space="preserve">dans le cadre des Projets </w:t>
      </w:r>
      <w:r w:rsidRPr="009F6C07">
        <w:rPr>
          <w:rFonts w:ascii="CG Times" w:hAnsi="CG Times"/>
        </w:rPr>
        <w:t>financés par la</w:t>
      </w:r>
      <w:r>
        <w:rPr>
          <w:rFonts w:ascii="CG Times" w:hAnsi="CG Times"/>
        </w:rPr>
        <w:t xml:space="preserve">dite </w:t>
      </w:r>
      <w:r w:rsidRPr="009F6C07">
        <w:rPr>
          <w:rFonts w:ascii="CG Times" w:hAnsi="CG Times"/>
        </w:rPr>
        <w:t>Banque</w:t>
      </w:r>
      <w:r>
        <w:rPr>
          <w:rFonts w:ascii="CG Times" w:hAnsi="CG Times"/>
        </w:rPr>
        <w:t xml:space="preserve"> </w:t>
      </w:r>
      <w:r w:rsidRPr="009F6C07">
        <w:rPr>
          <w:rFonts w:ascii="CG Times" w:hAnsi="CG Times"/>
        </w:rPr>
        <w:t>(</w:t>
      </w:r>
      <w:r>
        <w:rPr>
          <w:rFonts w:ascii="CG Times" w:hAnsi="CG Times"/>
        </w:rPr>
        <w:t>édition courante</w:t>
      </w:r>
      <w:r w:rsidRPr="009F6C07">
        <w:rPr>
          <w:rFonts w:ascii="CG Times" w:hAnsi="CG Times"/>
        </w:rPr>
        <w:t>)</w:t>
      </w:r>
      <w:r>
        <w:rPr>
          <w:rFonts w:ascii="CG Times" w:hAnsi="CG Times"/>
        </w:rPr>
        <w:t xml:space="preserve"> et sont ouvertes à tous les soumissionnaires éligibles, tels que définis dans ces Directives</w:t>
      </w:r>
      <w:r w:rsidRPr="009F6C07">
        <w:rPr>
          <w:rFonts w:ascii="CG Times" w:hAnsi="CG Times"/>
        </w:rPr>
        <w:t xml:space="preserve">. Les </w:t>
      </w:r>
      <w:r>
        <w:rPr>
          <w:rFonts w:ascii="CG Times" w:hAnsi="CG Times"/>
        </w:rPr>
        <w:t xml:space="preserve">acquisitions de services de </w:t>
      </w:r>
      <w:r w:rsidRPr="009F6C07">
        <w:rPr>
          <w:rFonts w:ascii="CG Times" w:hAnsi="CG Times"/>
        </w:rPr>
        <w:t xml:space="preserve">consultants </w:t>
      </w:r>
      <w:r>
        <w:rPr>
          <w:rFonts w:ascii="CG Times" w:hAnsi="CG Times"/>
        </w:rPr>
        <w:t xml:space="preserve">seront effectuées conformément aux </w:t>
      </w:r>
      <w:r w:rsidRPr="009F6C07">
        <w:rPr>
          <w:rFonts w:ascii="CG Times" w:hAnsi="CG Times"/>
        </w:rPr>
        <w:t>Directives</w:t>
      </w:r>
      <w:r>
        <w:rPr>
          <w:rFonts w:ascii="CG Times" w:hAnsi="CG Times"/>
        </w:rPr>
        <w:t xml:space="preserve"> pour l’acquisition de Services de Consultants</w:t>
      </w:r>
      <w:r w:rsidRPr="009F6C07">
        <w:rPr>
          <w:rFonts w:ascii="CG Times" w:hAnsi="CG Times"/>
        </w:rPr>
        <w:t xml:space="preserve"> </w:t>
      </w:r>
      <w:r>
        <w:rPr>
          <w:rFonts w:ascii="CG Times" w:hAnsi="CG Times"/>
        </w:rPr>
        <w:t xml:space="preserve">dans le cadre des Projets </w:t>
      </w:r>
      <w:r w:rsidRPr="009F6C07">
        <w:rPr>
          <w:rFonts w:ascii="CG Times" w:hAnsi="CG Times"/>
        </w:rPr>
        <w:t>financés par la Banque Islamique de Développement (</w:t>
      </w:r>
      <w:r>
        <w:rPr>
          <w:rFonts w:ascii="CG Times" w:hAnsi="CG Times"/>
        </w:rPr>
        <w:t>édition courante</w:t>
      </w:r>
      <w:r w:rsidRPr="009F6C07">
        <w:rPr>
          <w:rFonts w:ascii="CG Times" w:hAnsi="CG Times"/>
        </w:rPr>
        <w:t>)</w:t>
      </w:r>
      <w:r>
        <w:rPr>
          <w:rFonts w:ascii="CG Times" w:hAnsi="CG Times"/>
        </w:rPr>
        <w:t>.</w:t>
      </w:r>
    </w:p>
    <w:p w14:paraId="36F9C0BA" w14:textId="77777777" w:rsidR="00060331" w:rsidRDefault="00060331" w:rsidP="00060331">
      <w:pPr>
        <w:spacing w:line="360" w:lineRule="auto"/>
        <w:ind w:right="72"/>
        <w:jc w:val="both"/>
        <w:rPr>
          <w:rFonts w:ascii="CG Times" w:hAnsi="CG Times"/>
        </w:rPr>
      </w:pPr>
      <w:r w:rsidRPr="00F938D9">
        <w:rPr>
          <w:rFonts w:ascii="CG Times" w:hAnsi="CG Times"/>
        </w:rPr>
        <w:t>Les avis spécifiques de passation des marchés</w:t>
      </w:r>
      <w:r>
        <w:rPr>
          <w:rFonts w:ascii="CG Times" w:hAnsi="CG Times"/>
        </w:rPr>
        <w:t xml:space="preserve"> pour les acquisitions à effectuer par Appel d’Offres National (AON) et les appels à manifestations d’intérêt pour les services de consultants seront publiés au fur et à mesure qu’ils seront disponibles, sur le site internet de la </w:t>
      </w:r>
      <w:proofErr w:type="spellStart"/>
      <w:r>
        <w:rPr>
          <w:rFonts w:ascii="CG Times" w:hAnsi="CG Times"/>
        </w:rPr>
        <w:t>BIsD</w:t>
      </w:r>
      <w:proofErr w:type="spellEnd"/>
      <w:r>
        <w:rPr>
          <w:rFonts w:ascii="CG Times" w:hAnsi="CG Times"/>
        </w:rPr>
        <w:t>, le site de l’ISRA et sur le Journal Le Quotidien.</w:t>
      </w:r>
    </w:p>
    <w:p w14:paraId="4FEDD18F" w14:textId="67123DEB" w:rsidR="00060331" w:rsidRPr="00F61B08" w:rsidRDefault="00060331" w:rsidP="00060331">
      <w:pPr>
        <w:spacing w:line="360" w:lineRule="auto"/>
        <w:ind w:right="72"/>
        <w:jc w:val="both"/>
        <w:rPr>
          <w:rFonts w:ascii="CG Times" w:hAnsi="CG Times"/>
          <w:i/>
        </w:rPr>
      </w:pPr>
      <w:r>
        <w:rPr>
          <w:rFonts w:ascii="CG Times" w:hAnsi="CG Times"/>
        </w:rPr>
        <w:t xml:space="preserve"> Les candidats intéressés et éligibles, qui souhaitent être considérés pour la fourniture de biens, travaux et services de consultants pour le projet, ou qui désirent obtenir des informations additionnelles, sont invités à contacter le Bénéficiaire à l’adresse ci-dessous :</w:t>
      </w:r>
    </w:p>
    <w:p w14:paraId="5287EB89" w14:textId="74B9D098" w:rsidR="00060331" w:rsidRDefault="00060331" w:rsidP="00060331">
      <w:pPr>
        <w:spacing w:line="360" w:lineRule="auto"/>
        <w:ind w:right="72"/>
        <w:rPr>
          <w:rFonts w:ascii="CG Times" w:hAnsi="CG Times"/>
          <w:i/>
        </w:rPr>
      </w:pPr>
      <w:r>
        <w:rPr>
          <w:rFonts w:ascii="CG Times" w:hAnsi="CG Times"/>
          <w:i/>
        </w:rPr>
        <w:t>INSTITUT SENEGALAIS DE RECHERCHE</w:t>
      </w:r>
      <w:r w:rsidR="00842E21">
        <w:rPr>
          <w:rFonts w:ascii="CG Times" w:hAnsi="CG Times"/>
          <w:i/>
        </w:rPr>
        <w:t>S</w:t>
      </w:r>
      <w:r>
        <w:rPr>
          <w:rFonts w:ascii="CG Times" w:hAnsi="CG Times"/>
          <w:i/>
        </w:rPr>
        <w:t xml:space="preserve"> AGRICOLE</w:t>
      </w:r>
      <w:r w:rsidR="00842E21">
        <w:rPr>
          <w:rFonts w:ascii="CG Times" w:hAnsi="CG Times"/>
          <w:i/>
        </w:rPr>
        <w:t>S</w:t>
      </w:r>
    </w:p>
    <w:p w14:paraId="4363C481" w14:textId="77777777" w:rsidR="00060331" w:rsidRDefault="00060331" w:rsidP="00060331">
      <w:pPr>
        <w:spacing w:line="360" w:lineRule="auto"/>
        <w:ind w:right="72"/>
        <w:rPr>
          <w:rFonts w:ascii="CG Times" w:hAnsi="CG Times"/>
          <w:i/>
        </w:rPr>
      </w:pPr>
      <w:r>
        <w:rPr>
          <w:rFonts w:ascii="CG Times" w:hAnsi="CG Times"/>
          <w:i/>
        </w:rPr>
        <w:t>Route des hydrocarbures, Bel Air</w:t>
      </w:r>
    </w:p>
    <w:p w14:paraId="65766B9E" w14:textId="116B382D" w:rsidR="00060331" w:rsidRDefault="00060331" w:rsidP="00060331">
      <w:pPr>
        <w:spacing w:line="360" w:lineRule="auto"/>
        <w:ind w:right="72"/>
        <w:rPr>
          <w:rFonts w:ascii="CG Times" w:hAnsi="CG Times"/>
          <w:i/>
        </w:rPr>
      </w:pPr>
      <w:r>
        <w:rPr>
          <w:rFonts w:ascii="CG Times" w:hAnsi="CG Times"/>
          <w:i/>
        </w:rPr>
        <w:t>ABDOU</w:t>
      </w:r>
      <w:r w:rsidR="00842E21">
        <w:rPr>
          <w:rFonts w:ascii="CG Times" w:hAnsi="CG Times"/>
          <w:i/>
        </w:rPr>
        <w:t>L</w:t>
      </w:r>
      <w:r>
        <w:rPr>
          <w:rFonts w:ascii="CG Times" w:hAnsi="CG Times"/>
          <w:i/>
        </w:rPr>
        <w:t xml:space="preserve"> AZIZ NGOM SECRETAIRE GENERAL DE L’ISRA</w:t>
      </w:r>
    </w:p>
    <w:p w14:paraId="51AE2931" w14:textId="3469B4F6" w:rsidR="00060331" w:rsidRDefault="00060331" w:rsidP="00060331">
      <w:pPr>
        <w:spacing w:line="360" w:lineRule="auto"/>
        <w:ind w:right="72"/>
        <w:rPr>
          <w:rFonts w:ascii="CG Times" w:hAnsi="CG Times"/>
          <w:i/>
        </w:rPr>
      </w:pPr>
      <w:r>
        <w:rPr>
          <w:rFonts w:ascii="CG Times" w:hAnsi="CG Times"/>
          <w:i/>
        </w:rPr>
        <w:t>SALA DIOR MBAYE COORDONNATEUR CELLULE PASSATION DES MARCHES</w:t>
      </w:r>
    </w:p>
    <w:p w14:paraId="216F113F" w14:textId="77777777" w:rsidR="00060331" w:rsidRDefault="00060331" w:rsidP="00060331">
      <w:pPr>
        <w:spacing w:line="360" w:lineRule="auto"/>
        <w:ind w:right="72"/>
        <w:rPr>
          <w:rFonts w:ascii="CG Times" w:hAnsi="CG Times"/>
          <w:i/>
        </w:rPr>
      </w:pPr>
      <w:r>
        <w:rPr>
          <w:rFonts w:ascii="CG Times" w:hAnsi="CG Times"/>
          <w:i/>
        </w:rPr>
        <w:t>+221 33 859 17 31 ou bien +221 77 154 51 81</w:t>
      </w:r>
    </w:p>
    <w:p w14:paraId="3CF56C90" w14:textId="77777777" w:rsidR="00060331" w:rsidRDefault="00000000" w:rsidP="00060331">
      <w:pPr>
        <w:spacing w:line="360" w:lineRule="auto"/>
        <w:ind w:right="72"/>
        <w:rPr>
          <w:rFonts w:ascii="CG Times" w:hAnsi="CG Times"/>
          <w:i/>
        </w:rPr>
      </w:pPr>
      <w:hyperlink r:id="rId8" w:history="1">
        <w:r w:rsidR="00060331" w:rsidRPr="00646E3A">
          <w:rPr>
            <w:rStyle w:val="Lienhypertexte"/>
            <w:rFonts w:ascii="CG Times" w:hAnsi="CG Times"/>
            <w:i/>
          </w:rPr>
          <w:t>saladior.mbaye@isra.sn</w:t>
        </w:r>
      </w:hyperlink>
      <w:r w:rsidR="00060331">
        <w:rPr>
          <w:rFonts w:ascii="CG Times" w:hAnsi="CG Times"/>
          <w:i/>
        </w:rPr>
        <w:t>, sg@isra.sn</w:t>
      </w:r>
    </w:p>
    <w:p w14:paraId="2E529F83" w14:textId="77777777" w:rsidR="00060331" w:rsidRPr="00992D95" w:rsidRDefault="00060331" w:rsidP="00060331">
      <w:pPr>
        <w:spacing w:line="360" w:lineRule="auto"/>
        <w:ind w:right="72"/>
        <w:jc w:val="both"/>
        <w:rPr>
          <w:rFonts w:ascii="CG Times" w:hAnsi="CG Times"/>
        </w:rPr>
      </w:pPr>
      <w:r>
        <w:rPr>
          <w:rFonts w:ascii="CG Times" w:hAnsi="CG Times"/>
          <w:i/>
        </w:rPr>
        <w:t>www.isra.sn</w:t>
      </w:r>
    </w:p>
    <w:p w14:paraId="16E29C7B" w14:textId="77777777" w:rsidR="00CD0AFC" w:rsidRDefault="00CD0AFC" w:rsidP="00CD0AFC">
      <w:pPr>
        <w:jc w:val="center"/>
        <w:rPr>
          <w:b/>
          <w:sz w:val="20"/>
          <w:szCs w:val="20"/>
        </w:rPr>
      </w:pPr>
    </w:p>
    <w:p w14:paraId="4454CC69" w14:textId="77777777" w:rsidR="00060331" w:rsidRDefault="00060331" w:rsidP="00CD0AFC">
      <w:pPr>
        <w:ind w:left="5664"/>
        <w:jc w:val="center"/>
        <w:rPr>
          <w:b/>
        </w:rPr>
      </w:pPr>
    </w:p>
    <w:p w14:paraId="3CBEC9C8" w14:textId="11855D31" w:rsidR="00CD0AFC" w:rsidRDefault="00CD0AFC" w:rsidP="00CD0AFC">
      <w:pPr>
        <w:ind w:left="5664"/>
        <w:jc w:val="center"/>
        <w:rPr>
          <w:b/>
        </w:rPr>
      </w:pPr>
      <w:r>
        <w:rPr>
          <w:b/>
        </w:rPr>
        <w:t xml:space="preserve">  Le Directeur Général</w:t>
      </w:r>
    </w:p>
    <w:p w14:paraId="7E4FCF79" w14:textId="77777777" w:rsidR="00CD0AFC" w:rsidRDefault="00CD0AFC" w:rsidP="00CD0AFC">
      <w:pPr>
        <w:ind w:left="5664"/>
        <w:jc w:val="center"/>
        <w:rPr>
          <w:b/>
        </w:rPr>
      </w:pPr>
      <w:r>
        <w:rPr>
          <w:b/>
        </w:rPr>
        <w:t xml:space="preserve">  Dr </w:t>
      </w:r>
      <w:proofErr w:type="spellStart"/>
      <w:r w:rsidR="00E0129E">
        <w:rPr>
          <w:b/>
        </w:rPr>
        <w:t>Momar</w:t>
      </w:r>
      <w:proofErr w:type="spellEnd"/>
      <w:r w:rsidR="00E0129E">
        <w:rPr>
          <w:b/>
        </w:rPr>
        <w:t xml:space="preserve"> Talla SECK</w:t>
      </w:r>
    </w:p>
    <w:p w14:paraId="56D762A5" w14:textId="77777777" w:rsidR="00CD0AFC" w:rsidRDefault="00CD0AFC" w:rsidP="00CD0AFC">
      <w:pPr>
        <w:jc w:val="both"/>
        <w:rPr>
          <w:b/>
        </w:rPr>
      </w:pPr>
    </w:p>
    <w:p w14:paraId="1FF0405D" w14:textId="77777777" w:rsidR="00B76EB4" w:rsidRPr="00BB1C81" w:rsidRDefault="00BB1C81" w:rsidP="00BB1C81">
      <w:pPr>
        <w:jc w:val="both"/>
        <w:rPr>
          <w:color w:val="FF0000"/>
          <w:sz w:val="18"/>
        </w:rPr>
      </w:pPr>
      <w:r>
        <w:t xml:space="preserve">      </w:t>
      </w:r>
      <w:r w:rsidR="002D6E1B" w:rsidRPr="00E979F6">
        <w:rPr>
          <w:rFonts w:ascii="Calibri" w:hAnsi="Calibri" w:cs="Arial"/>
          <w:sz w:val="28"/>
          <w:szCs w:val="28"/>
        </w:rPr>
        <w:t xml:space="preserve">     </w:t>
      </w:r>
      <w:r w:rsidR="00B4024E" w:rsidRPr="00B4024E">
        <w:rPr>
          <w:sz w:val="28"/>
          <w:szCs w:val="28"/>
        </w:rPr>
        <w:t xml:space="preserve">                        </w:t>
      </w:r>
      <w:r w:rsidR="00B76EB4" w:rsidRPr="00B4024E">
        <w:rPr>
          <w:sz w:val="28"/>
          <w:szCs w:val="28"/>
        </w:rPr>
        <w:t xml:space="preserve">     </w:t>
      </w:r>
    </w:p>
    <w:p w14:paraId="5EE20341" w14:textId="77777777" w:rsidR="00405814" w:rsidRPr="00BB1C81" w:rsidRDefault="00405814">
      <w:pPr>
        <w:jc w:val="both"/>
        <w:rPr>
          <w:color w:val="FF0000"/>
          <w:sz w:val="18"/>
        </w:rPr>
      </w:pPr>
    </w:p>
    <w:sectPr w:rsidR="00405814" w:rsidRPr="00BB1C81" w:rsidSect="006136C4">
      <w:pgSz w:w="11906" w:h="16838"/>
      <w:pgMar w:top="1135"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FF4"/>
    <w:multiLevelType w:val="hybridMultilevel"/>
    <w:tmpl w:val="A0F2D27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521AB2"/>
    <w:multiLevelType w:val="multilevel"/>
    <w:tmpl w:val="C27EE05A"/>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913983"/>
    <w:multiLevelType w:val="hybridMultilevel"/>
    <w:tmpl w:val="8F4CD34E"/>
    <w:lvl w:ilvl="0" w:tplc="026EB022">
      <w:start w:val="1"/>
      <w:numFmt w:val="decimal"/>
      <w:lvlText w:val="%1."/>
      <w:lvlJc w:val="left"/>
      <w:pPr>
        <w:tabs>
          <w:tab w:val="num" w:pos="720"/>
        </w:tabs>
        <w:ind w:left="720" w:hanging="360"/>
      </w:pPr>
      <w:rPr>
        <w:rFonts w:hint="default"/>
        <w:b/>
      </w:rPr>
    </w:lvl>
    <w:lvl w:ilvl="1" w:tplc="C2D4C6E2">
      <w:numFmt w:val="bullet"/>
      <w:lvlText w:val=""/>
      <w:lvlJc w:val="left"/>
      <w:pPr>
        <w:tabs>
          <w:tab w:val="num" w:pos="1440"/>
        </w:tabs>
        <w:ind w:left="1440" w:hanging="360"/>
      </w:pPr>
      <w:rPr>
        <w:rFonts w:ascii="Symbol" w:eastAsia="Times New Roman" w:hAnsi="Symbol" w:cs="Times New Roman" w:hint="default"/>
      </w:rPr>
    </w:lvl>
    <w:lvl w:ilvl="2" w:tplc="650849CA">
      <w:start w:val="1"/>
      <w:numFmt w:val="lowerLetter"/>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463A67A9"/>
    <w:multiLevelType w:val="hybridMultilevel"/>
    <w:tmpl w:val="3440F544"/>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D79718A"/>
    <w:multiLevelType w:val="multilevel"/>
    <w:tmpl w:val="33B88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25B3AE5"/>
    <w:multiLevelType w:val="multilevel"/>
    <w:tmpl w:val="BD38B1C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15:restartNumberingAfterBreak="0">
    <w:nsid w:val="6CCD4B1B"/>
    <w:multiLevelType w:val="hybridMultilevel"/>
    <w:tmpl w:val="6C4652F6"/>
    <w:lvl w:ilvl="0" w:tplc="5184B27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41570746">
    <w:abstractNumId w:val="6"/>
  </w:num>
  <w:num w:numId="2" w16cid:durableId="1558317256">
    <w:abstractNumId w:val="2"/>
  </w:num>
  <w:num w:numId="3" w16cid:durableId="1049765417">
    <w:abstractNumId w:val="0"/>
  </w:num>
  <w:num w:numId="4" w16cid:durableId="1244099518">
    <w:abstractNumId w:val="3"/>
  </w:num>
  <w:num w:numId="5" w16cid:durableId="568199362">
    <w:abstractNumId w:val="5"/>
  </w:num>
  <w:num w:numId="6" w16cid:durableId="1425883970">
    <w:abstractNumId w:val="1"/>
  </w:num>
  <w:num w:numId="7" w16cid:durableId="143447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8C"/>
    <w:rsid w:val="000527AE"/>
    <w:rsid w:val="00060331"/>
    <w:rsid w:val="000958EE"/>
    <w:rsid w:val="000C659C"/>
    <w:rsid w:val="000F60E3"/>
    <w:rsid w:val="000F7F0E"/>
    <w:rsid w:val="0010450C"/>
    <w:rsid w:val="00106207"/>
    <w:rsid w:val="00136DE5"/>
    <w:rsid w:val="00144824"/>
    <w:rsid w:val="00156B0A"/>
    <w:rsid w:val="00172AF2"/>
    <w:rsid w:val="001F143F"/>
    <w:rsid w:val="0020547C"/>
    <w:rsid w:val="00253703"/>
    <w:rsid w:val="00260290"/>
    <w:rsid w:val="002C7E84"/>
    <w:rsid w:val="002D175F"/>
    <w:rsid w:val="002D54C3"/>
    <w:rsid w:val="002D6E1B"/>
    <w:rsid w:val="002D75E6"/>
    <w:rsid w:val="002F264C"/>
    <w:rsid w:val="003362C6"/>
    <w:rsid w:val="003537D7"/>
    <w:rsid w:val="0037661F"/>
    <w:rsid w:val="003931BE"/>
    <w:rsid w:val="003C7713"/>
    <w:rsid w:val="003E3378"/>
    <w:rsid w:val="003F3AC5"/>
    <w:rsid w:val="00405814"/>
    <w:rsid w:val="0048050D"/>
    <w:rsid w:val="00480A26"/>
    <w:rsid w:val="0049349C"/>
    <w:rsid w:val="004A3D6C"/>
    <w:rsid w:val="004B5428"/>
    <w:rsid w:val="004C046C"/>
    <w:rsid w:val="004E379C"/>
    <w:rsid w:val="00500150"/>
    <w:rsid w:val="005105A8"/>
    <w:rsid w:val="00515349"/>
    <w:rsid w:val="005379C9"/>
    <w:rsid w:val="00546531"/>
    <w:rsid w:val="005E0740"/>
    <w:rsid w:val="005E57F0"/>
    <w:rsid w:val="006136C4"/>
    <w:rsid w:val="00657D7B"/>
    <w:rsid w:val="00662897"/>
    <w:rsid w:val="006634E6"/>
    <w:rsid w:val="00666EBA"/>
    <w:rsid w:val="006B2F85"/>
    <w:rsid w:val="00774A06"/>
    <w:rsid w:val="007752EE"/>
    <w:rsid w:val="007912C3"/>
    <w:rsid w:val="007B0B82"/>
    <w:rsid w:val="007B1D65"/>
    <w:rsid w:val="007D3B3B"/>
    <w:rsid w:val="00802D74"/>
    <w:rsid w:val="00813E74"/>
    <w:rsid w:val="00835369"/>
    <w:rsid w:val="00842E21"/>
    <w:rsid w:val="00866148"/>
    <w:rsid w:val="00890946"/>
    <w:rsid w:val="008D2056"/>
    <w:rsid w:val="00941803"/>
    <w:rsid w:val="00977A18"/>
    <w:rsid w:val="0099322A"/>
    <w:rsid w:val="009A3F2C"/>
    <w:rsid w:val="009A7E70"/>
    <w:rsid w:val="009B2B08"/>
    <w:rsid w:val="00A05A6D"/>
    <w:rsid w:val="00A27445"/>
    <w:rsid w:val="00A323BA"/>
    <w:rsid w:val="00A43338"/>
    <w:rsid w:val="00A532BD"/>
    <w:rsid w:val="00A66F90"/>
    <w:rsid w:val="00AD44A0"/>
    <w:rsid w:val="00AF69F5"/>
    <w:rsid w:val="00B04BAD"/>
    <w:rsid w:val="00B20768"/>
    <w:rsid w:val="00B4024E"/>
    <w:rsid w:val="00B44448"/>
    <w:rsid w:val="00B76EB4"/>
    <w:rsid w:val="00BB1C81"/>
    <w:rsid w:val="00BC7A85"/>
    <w:rsid w:val="00C11412"/>
    <w:rsid w:val="00C15DE6"/>
    <w:rsid w:val="00C5475C"/>
    <w:rsid w:val="00C637B5"/>
    <w:rsid w:val="00C75B57"/>
    <w:rsid w:val="00C92111"/>
    <w:rsid w:val="00CD0AFC"/>
    <w:rsid w:val="00CE5287"/>
    <w:rsid w:val="00D04D8E"/>
    <w:rsid w:val="00D43514"/>
    <w:rsid w:val="00D546F0"/>
    <w:rsid w:val="00DA6F95"/>
    <w:rsid w:val="00DD4480"/>
    <w:rsid w:val="00DF4B36"/>
    <w:rsid w:val="00DF777A"/>
    <w:rsid w:val="00E0129E"/>
    <w:rsid w:val="00E32E04"/>
    <w:rsid w:val="00E3314F"/>
    <w:rsid w:val="00E6451D"/>
    <w:rsid w:val="00E91089"/>
    <w:rsid w:val="00E945D0"/>
    <w:rsid w:val="00EA3604"/>
    <w:rsid w:val="00EC55D8"/>
    <w:rsid w:val="00EE4B21"/>
    <w:rsid w:val="00F47B44"/>
    <w:rsid w:val="00F72FBB"/>
    <w:rsid w:val="00F92624"/>
    <w:rsid w:val="00F96ABA"/>
    <w:rsid w:val="00FA06ED"/>
    <w:rsid w:val="00FD111C"/>
    <w:rsid w:val="00FD695F"/>
    <w:rsid w:val="00FF6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2715"/>
  <w15:docId w15:val="{BA99EAE8-1867-4A99-9759-BEC4524C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A18"/>
    <w:rPr>
      <w:sz w:val="24"/>
      <w:szCs w:val="24"/>
    </w:rPr>
  </w:style>
  <w:style w:type="paragraph" w:styleId="Titre2">
    <w:name w:val="heading 2"/>
    <w:basedOn w:val="Normal"/>
    <w:next w:val="Normal"/>
    <w:link w:val="Titre2Car"/>
    <w:qFormat/>
    <w:rsid w:val="00DF4B36"/>
    <w:pPr>
      <w:keepNext/>
      <w:spacing w:before="240" w:after="60"/>
      <w:outlineLvl w:val="1"/>
    </w:pPr>
    <w:rPr>
      <w:rFonts w:ascii="Cambria" w:hAnsi="Cambria"/>
      <w:b/>
      <w:bCs/>
      <w:i/>
      <w:iCs/>
      <w:sz w:val="28"/>
      <w:szCs w:val="28"/>
    </w:rPr>
  </w:style>
  <w:style w:type="paragraph" w:styleId="Titre8">
    <w:name w:val="heading 8"/>
    <w:basedOn w:val="Normal"/>
    <w:next w:val="Normal"/>
    <w:link w:val="Titre8Car"/>
    <w:qFormat/>
    <w:rsid w:val="002D6E1B"/>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2D6E1B"/>
    <w:rPr>
      <w:i/>
      <w:iCs/>
      <w:sz w:val="24"/>
      <w:szCs w:val="24"/>
    </w:rPr>
  </w:style>
  <w:style w:type="character" w:customStyle="1" w:styleId="Titre2Car">
    <w:name w:val="Titre 2 Car"/>
    <w:basedOn w:val="Policepardfaut"/>
    <w:link w:val="Titre2"/>
    <w:semiHidden/>
    <w:rsid w:val="00DF4B36"/>
    <w:rPr>
      <w:rFonts w:ascii="Cambria" w:eastAsia="Times New Roman" w:hAnsi="Cambria" w:cs="Times New Roman"/>
      <w:b/>
      <w:bCs/>
      <w:i/>
      <w:iCs/>
      <w:sz w:val="28"/>
      <w:szCs w:val="28"/>
    </w:rPr>
  </w:style>
  <w:style w:type="character" w:styleId="Lienhypertexte">
    <w:name w:val="Hyperlink"/>
    <w:basedOn w:val="Policepardfaut"/>
    <w:rsid w:val="00DF4B36"/>
    <w:rPr>
      <w:color w:val="0000FF"/>
      <w:u w:val="single"/>
    </w:rPr>
  </w:style>
  <w:style w:type="paragraph" w:styleId="Paragraphedeliste">
    <w:name w:val="List Paragraph"/>
    <w:basedOn w:val="Normal"/>
    <w:uiPriority w:val="34"/>
    <w:qFormat/>
    <w:rsid w:val="000958EE"/>
    <w:pPr>
      <w:ind w:left="720"/>
      <w:contextualSpacing/>
    </w:pPr>
  </w:style>
  <w:style w:type="paragraph" w:styleId="Textedebulles">
    <w:name w:val="Balloon Text"/>
    <w:basedOn w:val="Normal"/>
    <w:link w:val="TextedebullesCar"/>
    <w:rsid w:val="00F96ABA"/>
    <w:rPr>
      <w:rFonts w:ascii="Tahoma" w:hAnsi="Tahoma" w:cs="Tahoma"/>
      <w:sz w:val="16"/>
      <w:szCs w:val="16"/>
    </w:rPr>
  </w:style>
  <w:style w:type="character" w:customStyle="1" w:styleId="TextedebullesCar">
    <w:name w:val="Texte de bulles Car"/>
    <w:basedOn w:val="Policepardfaut"/>
    <w:link w:val="Textedebulles"/>
    <w:rsid w:val="00F96ABA"/>
    <w:rPr>
      <w:rFonts w:ascii="Tahoma" w:hAnsi="Tahoma" w:cs="Tahoma"/>
      <w:sz w:val="16"/>
      <w:szCs w:val="16"/>
    </w:rPr>
  </w:style>
  <w:style w:type="paragraph" w:styleId="Rvision">
    <w:name w:val="Revision"/>
    <w:hidden/>
    <w:uiPriority w:val="99"/>
    <w:semiHidden/>
    <w:rsid w:val="00E645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dior.mbaye@isra.sn"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Dakar, le 06 Avril 2010</vt:lpstr>
    </vt:vector>
  </TitlesOfParts>
  <Company>ISRA</Company>
  <LinksUpToDate>false</LinksUpToDate>
  <CharactersWithSpaces>4111</CharactersWithSpaces>
  <SharedDoc>false</SharedDoc>
  <HLinks>
    <vt:vector size="6" baseType="variant">
      <vt:variant>
        <vt:i4>6750313</vt:i4>
      </vt:variant>
      <vt:variant>
        <vt:i4>0</vt:i4>
      </vt:variant>
      <vt:variant>
        <vt:i4>0</vt:i4>
      </vt:variant>
      <vt:variant>
        <vt:i4>5</vt:i4>
      </vt:variant>
      <vt:variant>
        <vt:lpwstr>mailto:alassandiaye2003@yahoo.fr/syabkry@yahoo.fr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Dakar, le 06 Avril 2010</dc:title>
  <dc:creator>Abou Sy</dc:creator>
  <cp:lastModifiedBy>saladior mbaye</cp:lastModifiedBy>
  <cp:revision>2</cp:revision>
  <cp:lastPrinted>2019-11-28T08:56:00Z</cp:lastPrinted>
  <dcterms:created xsi:type="dcterms:W3CDTF">2023-09-14T17:56:00Z</dcterms:created>
  <dcterms:modified xsi:type="dcterms:W3CDTF">2023-09-14T17:56:00Z</dcterms:modified>
</cp:coreProperties>
</file>