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7D07F7" w14:textId="6281989F" w:rsidR="00D63645" w:rsidRPr="005D344F" w:rsidRDefault="00454F93" w:rsidP="0079627F">
      <w:pPr>
        <w:pStyle w:val="Heading1"/>
        <w:spacing w:after="0"/>
        <w:jc w:val="center"/>
        <w:rPr>
          <w:sz w:val="22"/>
          <w:szCs w:val="22"/>
        </w:rPr>
      </w:pPr>
      <w:bookmarkStart w:id="0" w:name="_Toc54220341"/>
      <w:bookmarkStart w:id="1" w:name="_Toc5789663"/>
      <w:bookmarkStart w:id="2" w:name="_Toc71116224"/>
      <w:r w:rsidRPr="005D344F">
        <w:rPr>
          <w:sz w:val="22"/>
          <w:szCs w:val="22"/>
        </w:rPr>
        <w:t>TERMS OF REFERENCE</w:t>
      </w:r>
      <w:bookmarkEnd w:id="0"/>
      <w:bookmarkEnd w:id="1"/>
      <w:bookmarkEnd w:id="2"/>
    </w:p>
    <w:p w14:paraId="7CBEC4E5" w14:textId="64E047F9" w:rsidR="00615AFB" w:rsidRPr="005D344F" w:rsidRDefault="008D275D" w:rsidP="0079627F">
      <w:pPr>
        <w:suppressAutoHyphens/>
        <w:spacing w:before="240"/>
        <w:jc w:val="center"/>
        <w:rPr>
          <w:rFonts w:ascii="Arial" w:hAnsi="Arial" w:cs="Arial"/>
          <w:b/>
          <w:bCs/>
          <w:spacing w:val="-2"/>
          <w:sz w:val="22"/>
          <w:szCs w:val="22"/>
        </w:rPr>
      </w:pPr>
      <w:r w:rsidRPr="005D344F">
        <w:rPr>
          <w:rFonts w:ascii="Arial" w:hAnsi="Arial" w:cs="Arial"/>
          <w:b/>
          <w:bCs/>
          <w:spacing w:val="-2"/>
          <w:sz w:val="22"/>
          <w:szCs w:val="22"/>
        </w:rPr>
        <w:t>Establishment of the</w:t>
      </w:r>
      <w:r w:rsidR="00615AFB" w:rsidRPr="005D344F">
        <w:rPr>
          <w:rFonts w:ascii="Arial" w:hAnsi="Arial" w:cs="Arial"/>
          <w:b/>
          <w:bCs/>
          <w:spacing w:val="-2"/>
          <w:sz w:val="22"/>
          <w:szCs w:val="22"/>
        </w:rPr>
        <w:t xml:space="preserve"> </w:t>
      </w:r>
      <w:r w:rsidRPr="005D344F">
        <w:rPr>
          <w:rFonts w:ascii="Arial" w:hAnsi="Arial" w:cs="Arial"/>
          <w:b/>
          <w:bCs/>
          <w:spacing w:val="-2"/>
          <w:sz w:val="22"/>
          <w:szCs w:val="22"/>
        </w:rPr>
        <w:t>L</w:t>
      </w:r>
      <w:r w:rsidR="00615AFB" w:rsidRPr="005D344F">
        <w:rPr>
          <w:rFonts w:ascii="Arial" w:hAnsi="Arial" w:cs="Arial"/>
          <w:b/>
          <w:bCs/>
          <w:spacing w:val="-2"/>
          <w:sz w:val="22"/>
          <w:szCs w:val="22"/>
        </w:rPr>
        <w:t xml:space="preserve">egal </w:t>
      </w:r>
      <w:r w:rsidR="001E4B88" w:rsidRPr="005D344F">
        <w:rPr>
          <w:rFonts w:ascii="Arial" w:hAnsi="Arial" w:cs="Arial"/>
          <w:b/>
          <w:bCs/>
          <w:spacing w:val="-2"/>
          <w:sz w:val="22"/>
          <w:szCs w:val="22"/>
        </w:rPr>
        <w:t xml:space="preserve">Framework </w:t>
      </w:r>
      <w:r w:rsidR="00615AFB" w:rsidRPr="005D344F">
        <w:rPr>
          <w:rFonts w:ascii="Arial" w:hAnsi="Arial" w:cs="Arial"/>
          <w:b/>
          <w:bCs/>
          <w:spacing w:val="-2"/>
          <w:sz w:val="22"/>
          <w:szCs w:val="22"/>
        </w:rPr>
        <w:t xml:space="preserve">and </w:t>
      </w:r>
      <w:r w:rsidR="001E4B88" w:rsidRPr="005D344F">
        <w:rPr>
          <w:rFonts w:ascii="Arial" w:hAnsi="Arial" w:cs="Arial"/>
          <w:b/>
          <w:bCs/>
          <w:spacing w:val="-2"/>
          <w:sz w:val="22"/>
          <w:szCs w:val="22"/>
        </w:rPr>
        <w:t>R</w:t>
      </w:r>
      <w:r w:rsidR="00615AFB" w:rsidRPr="005D344F">
        <w:rPr>
          <w:rFonts w:ascii="Arial" w:hAnsi="Arial" w:cs="Arial"/>
          <w:b/>
          <w:bCs/>
          <w:spacing w:val="-2"/>
          <w:sz w:val="22"/>
          <w:szCs w:val="22"/>
        </w:rPr>
        <w:t>egulat</w:t>
      </w:r>
      <w:r w:rsidR="001E4B88" w:rsidRPr="005D344F">
        <w:rPr>
          <w:rFonts w:ascii="Arial" w:hAnsi="Arial" w:cs="Arial"/>
          <w:b/>
          <w:bCs/>
          <w:spacing w:val="-2"/>
          <w:sz w:val="22"/>
          <w:szCs w:val="22"/>
        </w:rPr>
        <w:t>ions</w:t>
      </w:r>
      <w:r w:rsidR="00615AFB" w:rsidRPr="005D344F">
        <w:rPr>
          <w:rFonts w:ascii="Arial" w:hAnsi="Arial" w:cs="Arial"/>
          <w:b/>
          <w:bCs/>
          <w:spacing w:val="-2"/>
          <w:sz w:val="22"/>
          <w:szCs w:val="22"/>
        </w:rPr>
        <w:t xml:space="preserve"> for </w:t>
      </w:r>
      <w:r w:rsidR="00CA59AF" w:rsidRPr="005D344F">
        <w:rPr>
          <w:rFonts w:ascii="Arial" w:hAnsi="Arial" w:cs="Arial"/>
          <w:b/>
          <w:bCs/>
          <w:spacing w:val="-2"/>
          <w:sz w:val="22"/>
          <w:szCs w:val="22"/>
        </w:rPr>
        <w:t xml:space="preserve">Awqaf </w:t>
      </w:r>
      <w:r w:rsidR="00615AFB" w:rsidRPr="005D344F">
        <w:rPr>
          <w:rFonts w:ascii="Arial" w:hAnsi="Arial" w:cs="Arial"/>
          <w:b/>
          <w:bCs/>
          <w:spacing w:val="-2"/>
          <w:sz w:val="22"/>
          <w:szCs w:val="22"/>
        </w:rPr>
        <w:t>in Uzbekistan</w:t>
      </w:r>
    </w:p>
    <w:p w14:paraId="031984AF" w14:textId="77777777" w:rsidR="00615AFB" w:rsidRPr="005D344F" w:rsidRDefault="00615AFB" w:rsidP="00454F93">
      <w:pPr>
        <w:spacing w:before="240"/>
        <w:jc w:val="left"/>
        <w:rPr>
          <w:rFonts w:ascii="Arial" w:hAnsi="Arial" w:cs="Arial"/>
          <w:b/>
          <w:sz w:val="22"/>
          <w:szCs w:val="22"/>
          <w:lang w:val="ky-KG"/>
        </w:rPr>
      </w:pPr>
      <w:r w:rsidRPr="005D344F">
        <w:rPr>
          <w:rFonts w:ascii="Arial" w:hAnsi="Arial" w:cs="Arial"/>
          <w:b/>
          <w:sz w:val="22"/>
          <w:szCs w:val="22"/>
          <w:lang w:val="ky-KG"/>
        </w:rPr>
        <w:t>I. INTRODUCTION</w:t>
      </w:r>
    </w:p>
    <w:p w14:paraId="0CF7A2B1" w14:textId="5B2091AF" w:rsidR="009302E8" w:rsidRPr="005D344F" w:rsidRDefault="002C3ED6" w:rsidP="00454F93">
      <w:pPr>
        <w:spacing w:before="240"/>
        <w:rPr>
          <w:rFonts w:ascii="Arial" w:hAnsi="Arial" w:cs="Arial"/>
          <w:sz w:val="22"/>
          <w:szCs w:val="22"/>
        </w:rPr>
      </w:pPr>
      <w:r>
        <w:rPr>
          <w:rFonts w:ascii="Arial" w:hAnsi="Arial" w:cs="Arial"/>
          <w:sz w:val="22"/>
          <w:szCs w:val="22"/>
        </w:rPr>
        <w:t>Awq</w:t>
      </w:r>
      <w:r w:rsidRPr="002C3ED6">
        <w:rPr>
          <w:rFonts w:ascii="Arial" w:hAnsi="Arial" w:cs="Arial"/>
          <w:sz w:val="22"/>
          <w:szCs w:val="22"/>
        </w:rPr>
        <w:t xml:space="preserve">af is a system for the effective </w:t>
      </w:r>
      <w:r>
        <w:rPr>
          <w:rFonts w:ascii="Arial" w:hAnsi="Arial" w:cs="Arial"/>
          <w:sz w:val="22"/>
          <w:szCs w:val="22"/>
        </w:rPr>
        <w:t xml:space="preserve">asset </w:t>
      </w:r>
      <w:r w:rsidRPr="002C3ED6">
        <w:rPr>
          <w:rFonts w:ascii="Arial" w:hAnsi="Arial" w:cs="Arial"/>
          <w:sz w:val="22"/>
          <w:szCs w:val="22"/>
        </w:rPr>
        <w:t xml:space="preserve">management donated by devout Muslims for charitable purposes such as the maintenance and development of education, health care, social welfare and </w:t>
      </w:r>
      <w:r w:rsidRPr="005D344F">
        <w:rPr>
          <w:rFonts w:ascii="Arial" w:hAnsi="Arial" w:cs="Arial"/>
          <w:sz w:val="22"/>
          <w:szCs w:val="22"/>
        </w:rPr>
        <w:t>poverty alleviation</w:t>
      </w:r>
      <w:r w:rsidRPr="002C3ED6">
        <w:rPr>
          <w:rFonts w:ascii="Arial" w:hAnsi="Arial" w:cs="Arial"/>
          <w:sz w:val="22"/>
          <w:szCs w:val="22"/>
        </w:rPr>
        <w:t>.</w:t>
      </w:r>
      <w:r>
        <w:rPr>
          <w:rFonts w:ascii="Arial" w:hAnsi="Arial" w:cs="Arial"/>
          <w:sz w:val="22"/>
          <w:szCs w:val="22"/>
        </w:rPr>
        <w:t xml:space="preserve"> </w:t>
      </w:r>
      <w:r w:rsidR="009302E8" w:rsidRPr="005D344F">
        <w:rPr>
          <w:rFonts w:ascii="Arial" w:hAnsi="Arial" w:cs="Arial"/>
          <w:sz w:val="22"/>
          <w:szCs w:val="22"/>
        </w:rPr>
        <w:t xml:space="preserve">Awqaf represents a vital institution and a means to increase wealth and resources to empower national and local communities. </w:t>
      </w:r>
    </w:p>
    <w:p w14:paraId="6F70CCE0" w14:textId="09DC837E" w:rsidR="009302E8" w:rsidRPr="005D344F" w:rsidRDefault="009302E8" w:rsidP="00454F93">
      <w:pPr>
        <w:spacing w:before="240"/>
        <w:rPr>
          <w:rFonts w:ascii="Arial" w:hAnsi="Arial" w:cs="Arial"/>
          <w:sz w:val="22"/>
          <w:szCs w:val="22"/>
        </w:rPr>
      </w:pPr>
      <w:r w:rsidRPr="005D344F">
        <w:rPr>
          <w:rFonts w:ascii="Arial" w:hAnsi="Arial" w:cs="Arial"/>
          <w:sz w:val="22"/>
          <w:szCs w:val="22"/>
        </w:rPr>
        <w:t>This project aims to support and accelerate the development of Awqaf in Uzbekistan. W</w:t>
      </w:r>
      <w:r w:rsidRPr="005D344F">
        <w:rPr>
          <w:rFonts w:ascii="Arial" w:hAnsi="Arial" w:cs="Arial"/>
          <w:sz w:val="22"/>
          <w:szCs w:val="22"/>
          <w:lang w:val="ky-KG"/>
        </w:rPr>
        <w:t>ithin the framework of the Islamic Development Bank (I</w:t>
      </w:r>
      <w:r w:rsidRPr="005D344F">
        <w:rPr>
          <w:rFonts w:ascii="Arial" w:hAnsi="Arial" w:cs="Arial"/>
          <w:sz w:val="22"/>
          <w:szCs w:val="22"/>
        </w:rPr>
        <w:t>s</w:t>
      </w:r>
      <w:r w:rsidRPr="005D344F">
        <w:rPr>
          <w:rFonts w:ascii="Arial" w:hAnsi="Arial" w:cs="Arial"/>
          <w:sz w:val="22"/>
          <w:szCs w:val="22"/>
          <w:lang w:val="ky-KG"/>
        </w:rPr>
        <w:t>DB) grant</w:t>
      </w:r>
      <w:r w:rsidRPr="005D344F">
        <w:rPr>
          <w:rFonts w:ascii="Arial" w:hAnsi="Arial" w:cs="Arial"/>
          <w:sz w:val="22"/>
          <w:szCs w:val="22"/>
        </w:rPr>
        <w:t>, t</w:t>
      </w:r>
      <w:r w:rsidRPr="005D344F">
        <w:rPr>
          <w:rFonts w:ascii="Arial" w:hAnsi="Arial" w:cs="Arial"/>
          <w:sz w:val="22"/>
          <w:szCs w:val="22"/>
          <w:lang w:val="ky-KG"/>
        </w:rPr>
        <w:t xml:space="preserve">he </w:t>
      </w:r>
      <w:r w:rsidRPr="005D344F">
        <w:rPr>
          <w:rFonts w:ascii="Arial" w:hAnsi="Arial" w:cs="Arial"/>
          <w:sz w:val="22"/>
          <w:szCs w:val="22"/>
        </w:rPr>
        <w:t>Committee on Religious Affairs under the Cabinet of Ministers of the Republic of Uzbekistan</w:t>
      </w:r>
      <w:r w:rsidR="0000702F">
        <w:rPr>
          <w:rFonts w:ascii="Arial" w:hAnsi="Arial" w:cs="Arial"/>
          <w:sz w:val="22"/>
          <w:szCs w:val="22"/>
        </w:rPr>
        <w:t xml:space="preserve"> (</w:t>
      </w:r>
      <w:r w:rsidR="0000702F" w:rsidRPr="0000702F">
        <w:rPr>
          <w:rFonts w:ascii="Arial" w:hAnsi="Arial" w:cs="Arial"/>
          <w:sz w:val="22"/>
          <w:szCs w:val="22"/>
        </w:rPr>
        <w:t xml:space="preserve">hereinafter referred to as </w:t>
      </w:r>
      <w:r w:rsidR="0000702F">
        <w:rPr>
          <w:rFonts w:ascii="Arial" w:hAnsi="Arial" w:cs="Arial"/>
          <w:sz w:val="22"/>
          <w:szCs w:val="22"/>
        </w:rPr>
        <w:t>“</w:t>
      </w:r>
      <w:r w:rsidR="0000702F" w:rsidRPr="0000702F">
        <w:rPr>
          <w:rFonts w:ascii="Arial" w:hAnsi="Arial" w:cs="Arial"/>
          <w:sz w:val="22"/>
          <w:szCs w:val="22"/>
        </w:rPr>
        <w:t>the Committee</w:t>
      </w:r>
      <w:r w:rsidR="0000702F">
        <w:rPr>
          <w:rFonts w:ascii="Arial" w:hAnsi="Arial" w:cs="Arial"/>
          <w:sz w:val="22"/>
          <w:szCs w:val="22"/>
        </w:rPr>
        <w:t xml:space="preserve">”) </w:t>
      </w:r>
      <w:r w:rsidR="0000702F" w:rsidRPr="0000702F">
        <w:rPr>
          <w:rFonts w:ascii="Arial" w:hAnsi="Arial" w:cs="Arial"/>
          <w:sz w:val="22"/>
          <w:szCs w:val="22"/>
        </w:rPr>
        <w:t>with the assistance of the Public Charitable Foundation "</w:t>
      </w:r>
      <w:r w:rsidR="0000702F">
        <w:rPr>
          <w:rFonts w:ascii="Arial" w:hAnsi="Arial" w:cs="Arial"/>
          <w:sz w:val="22"/>
          <w:szCs w:val="22"/>
        </w:rPr>
        <w:t>Waqf</w:t>
      </w:r>
      <w:r w:rsidR="0000702F" w:rsidRPr="0000702F">
        <w:rPr>
          <w:rFonts w:ascii="Arial" w:hAnsi="Arial" w:cs="Arial"/>
          <w:sz w:val="22"/>
          <w:szCs w:val="22"/>
        </w:rPr>
        <w:t>" (hereinafter referred to as "</w:t>
      </w:r>
      <w:r w:rsidR="0000702F">
        <w:rPr>
          <w:rFonts w:ascii="Arial" w:hAnsi="Arial" w:cs="Arial"/>
          <w:sz w:val="22"/>
          <w:szCs w:val="22"/>
        </w:rPr>
        <w:t>Waqf</w:t>
      </w:r>
      <w:r w:rsidR="0000702F" w:rsidRPr="0000702F">
        <w:rPr>
          <w:rFonts w:ascii="Arial" w:hAnsi="Arial" w:cs="Arial"/>
          <w:sz w:val="22"/>
          <w:szCs w:val="22"/>
        </w:rPr>
        <w:t>")</w:t>
      </w:r>
      <w:r w:rsidRPr="005D344F">
        <w:rPr>
          <w:rFonts w:ascii="Arial" w:hAnsi="Arial" w:cs="Arial"/>
          <w:sz w:val="22"/>
          <w:szCs w:val="22"/>
        </w:rPr>
        <w:t xml:space="preserve"> </w:t>
      </w:r>
      <w:r w:rsidRPr="005D344F">
        <w:rPr>
          <w:rFonts w:ascii="Arial" w:hAnsi="Arial" w:cs="Arial"/>
          <w:sz w:val="22"/>
          <w:szCs w:val="22"/>
          <w:lang w:val="ky-KG"/>
        </w:rPr>
        <w:t xml:space="preserve">is implementing </w:t>
      </w:r>
      <w:r w:rsidRPr="005D344F">
        <w:rPr>
          <w:rFonts w:ascii="Arial" w:hAnsi="Arial" w:cs="Arial"/>
          <w:sz w:val="22"/>
          <w:szCs w:val="22"/>
        </w:rPr>
        <w:t>the</w:t>
      </w:r>
      <w:r w:rsidRPr="005D344F">
        <w:rPr>
          <w:rFonts w:ascii="Arial" w:hAnsi="Arial" w:cs="Arial"/>
          <w:sz w:val="22"/>
          <w:szCs w:val="22"/>
          <w:lang w:val="ky-KG"/>
        </w:rPr>
        <w:t xml:space="preserve"> project to develop the required </w:t>
      </w:r>
      <w:r w:rsidRPr="005D344F">
        <w:rPr>
          <w:rFonts w:ascii="Arial" w:hAnsi="Arial" w:cs="Arial"/>
          <w:sz w:val="22"/>
          <w:szCs w:val="22"/>
        </w:rPr>
        <w:t xml:space="preserve">legal and </w:t>
      </w:r>
      <w:r w:rsidRPr="005D344F">
        <w:rPr>
          <w:rFonts w:ascii="Arial" w:hAnsi="Arial" w:cs="Arial"/>
          <w:sz w:val="22"/>
          <w:szCs w:val="22"/>
          <w:lang w:val="ky-KG"/>
        </w:rPr>
        <w:t xml:space="preserve">regulatory framework </w:t>
      </w:r>
      <w:r w:rsidRPr="005D344F">
        <w:rPr>
          <w:rFonts w:ascii="Arial" w:hAnsi="Arial" w:cs="Arial"/>
          <w:sz w:val="22"/>
          <w:szCs w:val="22"/>
        </w:rPr>
        <w:t>for the Awqaf in accordance with the best practices that is suitable for the country and principles which should be in compliance with the Shariah governance for the Islamic finance for the Republic of Uzbekistan.</w:t>
      </w:r>
    </w:p>
    <w:p w14:paraId="488ED0A0" w14:textId="77777777" w:rsidR="00615AFB" w:rsidRPr="005D344F" w:rsidRDefault="00615AFB" w:rsidP="00454F93">
      <w:pPr>
        <w:spacing w:before="240"/>
        <w:jc w:val="left"/>
        <w:rPr>
          <w:rFonts w:ascii="Arial" w:hAnsi="Arial" w:cs="Arial"/>
          <w:b/>
          <w:sz w:val="22"/>
          <w:szCs w:val="22"/>
        </w:rPr>
      </w:pPr>
      <w:r w:rsidRPr="005D344F">
        <w:rPr>
          <w:rFonts w:ascii="Arial" w:hAnsi="Arial" w:cs="Arial"/>
          <w:b/>
          <w:sz w:val="22"/>
          <w:szCs w:val="22"/>
        </w:rPr>
        <w:t xml:space="preserve">II.   OBJECTIVE OF THE PROJECT </w:t>
      </w:r>
    </w:p>
    <w:p w14:paraId="29E66E1D" w14:textId="05975F39" w:rsidR="00615AFB" w:rsidRPr="005D344F" w:rsidRDefault="00334DC4" w:rsidP="00454F93">
      <w:pPr>
        <w:pStyle w:val="rvps15596"/>
        <w:spacing w:before="240" w:after="0"/>
        <w:jc w:val="both"/>
        <w:rPr>
          <w:rFonts w:ascii="Arial" w:hAnsi="Arial" w:cs="Arial"/>
          <w:sz w:val="22"/>
          <w:szCs w:val="22"/>
          <w:lang w:val="en-US" w:eastAsia="en-US"/>
        </w:rPr>
      </w:pPr>
      <w:r w:rsidRPr="005D344F">
        <w:rPr>
          <w:rFonts w:ascii="Arial" w:hAnsi="Arial" w:cs="Arial"/>
          <w:sz w:val="22"/>
          <w:szCs w:val="22"/>
          <w:lang w:val="en-US" w:eastAsia="en-US"/>
        </w:rPr>
        <w:t xml:space="preserve">Development of Awqaf </w:t>
      </w:r>
      <w:r w:rsidR="00615AFB" w:rsidRPr="005D344F">
        <w:rPr>
          <w:rFonts w:ascii="Arial" w:hAnsi="Arial" w:cs="Arial"/>
          <w:sz w:val="22"/>
          <w:szCs w:val="22"/>
          <w:lang w:val="en-US" w:eastAsia="en-US"/>
        </w:rPr>
        <w:t>is a relatively new concept in Uzbekistan. Recent announcements by the Government and H.E. the President have put a high priority on the introduction of Islamic banking and finance in the country and the availability of Islamic financial products and instruments in the country.</w:t>
      </w:r>
    </w:p>
    <w:p w14:paraId="0FBE780A" w14:textId="291EF72C" w:rsidR="00615AFB" w:rsidRPr="005D344F" w:rsidRDefault="006F3760" w:rsidP="00454F93">
      <w:pPr>
        <w:pStyle w:val="rvps15596"/>
        <w:spacing w:before="240" w:after="0"/>
        <w:jc w:val="both"/>
        <w:rPr>
          <w:rFonts w:ascii="Arial" w:hAnsi="Arial" w:cs="Arial"/>
          <w:sz w:val="22"/>
          <w:szCs w:val="22"/>
          <w:lang w:val="en-US"/>
        </w:rPr>
      </w:pPr>
      <w:r w:rsidRPr="005D344F">
        <w:rPr>
          <w:rFonts w:ascii="Arial" w:hAnsi="Arial" w:cs="Arial"/>
          <w:sz w:val="22"/>
          <w:szCs w:val="22"/>
          <w:lang w:val="en-US"/>
        </w:rPr>
        <w:t xml:space="preserve">Currently, Uzbekistan </w:t>
      </w:r>
      <w:r w:rsidR="00DE795F" w:rsidRPr="005D344F">
        <w:rPr>
          <w:rFonts w:ascii="Arial" w:hAnsi="Arial" w:cs="Arial"/>
          <w:sz w:val="22"/>
          <w:szCs w:val="22"/>
          <w:lang w:val="en-US"/>
        </w:rPr>
        <w:t xml:space="preserve">started working on </w:t>
      </w:r>
      <w:r w:rsidRPr="005D344F">
        <w:rPr>
          <w:rFonts w:ascii="Arial" w:hAnsi="Arial" w:cs="Arial"/>
          <w:sz w:val="22"/>
          <w:szCs w:val="22"/>
          <w:lang w:val="en-US"/>
        </w:rPr>
        <w:t>legal framework for Islamic banking and finance</w:t>
      </w:r>
      <w:r w:rsidR="00615AFB" w:rsidRPr="005D344F">
        <w:rPr>
          <w:rFonts w:ascii="Arial" w:hAnsi="Arial" w:cs="Arial"/>
          <w:sz w:val="22"/>
          <w:szCs w:val="22"/>
          <w:lang w:val="en-US"/>
        </w:rPr>
        <w:t xml:space="preserve">, </w:t>
      </w:r>
      <w:r w:rsidR="00DE795F" w:rsidRPr="005D344F">
        <w:rPr>
          <w:rFonts w:ascii="Arial" w:hAnsi="Arial" w:cs="Arial"/>
          <w:sz w:val="22"/>
          <w:szCs w:val="22"/>
          <w:lang w:val="en-US"/>
        </w:rPr>
        <w:t xml:space="preserve">since </w:t>
      </w:r>
      <w:r w:rsidR="00615AFB" w:rsidRPr="005D344F">
        <w:rPr>
          <w:rFonts w:ascii="Arial" w:hAnsi="Arial" w:cs="Arial"/>
          <w:sz w:val="22"/>
          <w:szCs w:val="22"/>
          <w:lang w:val="en-US"/>
        </w:rPr>
        <w:t>there is a growing interest in Islamic financial services from the private sector both in rendering and receiving such services.</w:t>
      </w:r>
    </w:p>
    <w:p w14:paraId="103FE835" w14:textId="6BAD323E" w:rsidR="00615AFB" w:rsidRPr="005D344F" w:rsidRDefault="00615AFB" w:rsidP="00454F93">
      <w:pPr>
        <w:pStyle w:val="rvps15596"/>
        <w:spacing w:before="240" w:after="0"/>
        <w:jc w:val="both"/>
        <w:rPr>
          <w:rFonts w:ascii="Arial" w:hAnsi="Arial" w:cs="Arial"/>
          <w:sz w:val="22"/>
          <w:szCs w:val="22"/>
          <w:lang w:val="en-US"/>
        </w:rPr>
      </w:pPr>
      <w:r w:rsidRPr="005D344F">
        <w:rPr>
          <w:rFonts w:ascii="Arial" w:hAnsi="Arial" w:cs="Arial"/>
          <w:sz w:val="22"/>
          <w:szCs w:val="22"/>
          <w:lang w:val="en-US"/>
        </w:rPr>
        <w:t xml:space="preserve">The </w:t>
      </w:r>
      <w:r w:rsidR="00BB52BD" w:rsidRPr="005D344F">
        <w:rPr>
          <w:rFonts w:ascii="Arial" w:hAnsi="Arial" w:cs="Arial"/>
          <w:sz w:val="22"/>
          <w:szCs w:val="22"/>
          <w:lang w:val="en-US"/>
        </w:rPr>
        <w:t xml:space="preserve">Committee </w:t>
      </w:r>
      <w:r w:rsidRPr="005D344F">
        <w:rPr>
          <w:rFonts w:ascii="Arial" w:hAnsi="Arial" w:cs="Arial"/>
          <w:sz w:val="22"/>
          <w:szCs w:val="22"/>
          <w:lang w:val="en-US"/>
        </w:rPr>
        <w:t xml:space="preserve">has been nominated as the executing agency and </w:t>
      </w:r>
      <w:r w:rsidR="00BB52BD" w:rsidRPr="005D344F">
        <w:rPr>
          <w:rFonts w:ascii="Arial" w:hAnsi="Arial" w:cs="Arial"/>
          <w:sz w:val="22"/>
          <w:szCs w:val="22"/>
          <w:lang w:val="en-US"/>
        </w:rPr>
        <w:t xml:space="preserve">will </w:t>
      </w:r>
      <w:r w:rsidRPr="005D344F">
        <w:rPr>
          <w:rFonts w:ascii="Arial" w:hAnsi="Arial" w:cs="Arial"/>
          <w:sz w:val="22"/>
          <w:szCs w:val="22"/>
          <w:lang w:val="en-US"/>
        </w:rPr>
        <w:t xml:space="preserve">work with the Central Bank of Uzbekistan and other stakeholders including but not limited to the </w:t>
      </w:r>
      <w:r w:rsidR="00BB52BD" w:rsidRPr="005D344F">
        <w:rPr>
          <w:rFonts w:ascii="Arial" w:hAnsi="Arial" w:cs="Arial"/>
          <w:sz w:val="22"/>
          <w:szCs w:val="22"/>
          <w:lang w:val="en-US"/>
        </w:rPr>
        <w:t xml:space="preserve">Ministry of Finance and Economy, </w:t>
      </w:r>
      <w:r w:rsidRPr="005D344F">
        <w:rPr>
          <w:rFonts w:ascii="Arial" w:hAnsi="Arial" w:cs="Arial"/>
          <w:sz w:val="22"/>
          <w:szCs w:val="22"/>
          <w:lang w:val="en-US"/>
        </w:rPr>
        <w:t xml:space="preserve">State Tax Committee, Ministry of Justice and other private sector players to successfully implement this project. </w:t>
      </w:r>
    </w:p>
    <w:p w14:paraId="09A69CEC" w14:textId="20CFBD42" w:rsidR="00615AFB" w:rsidRPr="005D344F" w:rsidRDefault="00615AFB" w:rsidP="0079627F">
      <w:pPr>
        <w:pStyle w:val="rvps15596"/>
        <w:spacing w:before="240" w:after="0"/>
        <w:jc w:val="both"/>
        <w:rPr>
          <w:rFonts w:ascii="Arial" w:hAnsi="Arial" w:cs="Arial"/>
          <w:sz w:val="22"/>
          <w:szCs w:val="22"/>
          <w:lang w:val="en-US"/>
        </w:rPr>
      </w:pPr>
      <w:r w:rsidRPr="005D344F">
        <w:rPr>
          <w:rFonts w:ascii="Arial" w:hAnsi="Arial" w:cs="Arial"/>
          <w:sz w:val="22"/>
          <w:szCs w:val="22"/>
          <w:lang w:val="en-US"/>
        </w:rPr>
        <w:t xml:space="preserve">The objective of the project is the establishment of a legal framework for </w:t>
      </w:r>
      <w:r w:rsidR="00BB52BD" w:rsidRPr="005D344F">
        <w:rPr>
          <w:rFonts w:ascii="Arial" w:hAnsi="Arial" w:cs="Arial"/>
          <w:sz w:val="22"/>
          <w:szCs w:val="22"/>
          <w:lang w:val="en-US"/>
        </w:rPr>
        <w:t xml:space="preserve">Awqaf </w:t>
      </w:r>
      <w:r w:rsidR="00366290" w:rsidRPr="005D344F">
        <w:rPr>
          <w:rFonts w:ascii="Arial" w:hAnsi="Arial" w:cs="Arial"/>
          <w:sz w:val="22"/>
          <w:szCs w:val="22"/>
          <w:lang w:val="en-US"/>
        </w:rPr>
        <w:t>along</w:t>
      </w:r>
      <w:r w:rsidRPr="005D344F">
        <w:rPr>
          <w:rFonts w:ascii="Arial" w:hAnsi="Arial" w:cs="Arial"/>
          <w:sz w:val="22"/>
          <w:szCs w:val="22"/>
          <w:lang w:val="en-US"/>
        </w:rPr>
        <w:t xml:space="preserve"> with the requisite regulatory, supervisory, taxation and Shariah guidelines </w:t>
      </w:r>
      <w:r w:rsidRPr="005D344F">
        <w:rPr>
          <w:rFonts w:ascii="Arial" w:hAnsi="Arial" w:cs="Arial"/>
          <w:b/>
          <w:bCs/>
          <w:sz w:val="22"/>
          <w:szCs w:val="22"/>
          <w:lang w:val="en-US"/>
        </w:rPr>
        <w:t>(with translation into Uzbek/Russian)</w:t>
      </w:r>
      <w:r w:rsidRPr="005D344F">
        <w:rPr>
          <w:rFonts w:ascii="Arial" w:hAnsi="Arial" w:cs="Arial"/>
          <w:sz w:val="22"/>
          <w:szCs w:val="22"/>
          <w:lang w:val="en-US"/>
        </w:rPr>
        <w:t>: This includes but is not limited to:</w:t>
      </w:r>
    </w:p>
    <w:p w14:paraId="52AE6A82" w14:textId="08BF325E" w:rsidR="00BB52BD" w:rsidRPr="005D344F" w:rsidRDefault="00BB52BD" w:rsidP="00454F93">
      <w:pPr>
        <w:spacing w:before="240"/>
        <w:rPr>
          <w:rFonts w:ascii="Arial" w:hAnsi="Arial" w:cs="Arial"/>
          <w:sz w:val="22"/>
          <w:szCs w:val="22"/>
          <w:lang w:eastAsia="ru-RU"/>
        </w:rPr>
      </w:pPr>
      <w:r w:rsidRPr="005D344F">
        <w:rPr>
          <w:rFonts w:ascii="Arial" w:hAnsi="Arial" w:cs="Arial"/>
          <w:sz w:val="22"/>
          <w:szCs w:val="22"/>
          <w:lang w:eastAsia="ru-RU"/>
        </w:rPr>
        <w:t xml:space="preserve">The consultant will develop a comprehensive plan for the development of </w:t>
      </w:r>
      <w:r w:rsidR="009302E8" w:rsidRPr="005D344F">
        <w:rPr>
          <w:rFonts w:ascii="Arial" w:hAnsi="Arial" w:cs="Arial"/>
          <w:sz w:val="22"/>
          <w:szCs w:val="22"/>
          <w:lang w:eastAsia="ru-RU"/>
        </w:rPr>
        <w:t>A</w:t>
      </w:r>
      <w:r w:rsidRPr="005D344F">
        <w:rPr>
          <w:rFonts w:ascii="Arial" w:hAnsi="Arial" w:cs="Arial"/>
          <w:sz w:val="22"/>
          <w:szCs w:val="22"/>
          <w:lang w:eastAsia="ru-RU"/>
        </w:rPr>
        <w:t>wqaf and its legal framework in Uzbekistan. The plan should include the following tasks:</w:t>
      </w:r>
    </w:p>
    <w:p w14:paraId="1FBDBEB2" w14:textId="0366A768" w:rsidR="00615AFB" w:rsidRPr="005D344F" w:rsidRDefault="00615AFB" w:rsidP="00454F93">
      <w:pPr>
        <w:spacing w:before="240"/>
        <w:ind w:firstLine="709"/>
        <w:jc w:val="left"/>
        <w:rPr>
          <w:rFonts w:ascii="Arial" w:hAnsi="Arial" w:cs="Arial"/>
          <w:b/>
          <w:sz w:val="22"/>
          <w:szCs w:val="22"/>
        </w:rPr>
      </w:pPr>
      <w:r w:rsidRPr="005D344F">
        <w:rPr>
          <w:rFonts w:ascii="Arial" w:hAnsi="Arial" w:cs="Arial"/>
          <w:b/>
          <w:sz w:val="22"/>
          <w:szCs w:val="22"/>
        </w:rPr>
        <w:t>III</w:t>
      </w:r>
      <w:r w:rsidRPr="005D344F">
        <w:rPr>
          <w:rFonts w:ascii="Arial" w:hAnsi="Arial" w:cs="Arial"/>
          <w:b/>
          <w:sz w:val="22"/>
          <w:szCs w:val="22"/>
          <w:lang w:val="ky-KG"/>
        </w:rPr>
        <w:t>.</w:t>
      </w:r>
      <w:r w:rsidRPr="005D344F">
        <w:rPr>
          <w:rFonts w:ascii="Arial" w:hAnsi="Arial" w:cs="Arial"/>
          <w:b/>
          <w:sz w:val="22"/>
          <w:szCs w:val="22"/>
        </w:rPr>
        <w:t xml:space="preserve"> SCOPE OF SERVICES</w:t>
      </w:r>
    </w:p>
    <w:p w14:paraId="17C8D429" w14:textId="1716E75A" w:rsidR="009302E8" w:rsidRPr="005D344F" w:rsidRDefault="0079627F" w:rsidP="0079627F">
      <w:pPr>
        <w:spacing w:before="240" w:line="276" w:lineRule="auto"/>
        <w:rPr>
          <w:rFonts w:ascii="Arial" w:hAnsi="Arial" w:cs="Arial"/>
          <w:sz w:val="22"/>
          <w:szCs w:val="22"/>
        </w:rPr>
      </w:pPr>
      <w:r w:rsidRPr="005D344F">
        <w:rPr>
          <w:rFonts w:ascii="Arial" w:hAnsi="Arial" w:cs="Arial"/>
          <w:sz w:val="22"/>
          <w:szCs w:val="22"/>
        </w:rPr>
        <w:t>The overall purpose of this consultancy assignment is to create an enabling legal, regulatory and supervisory environment for the establishment and development of Awqaf in Uzbekistan.The Consultant(s) shall undertake the following complementary tasks, which will cover the following:</w:t>
      </w:r>
    </w:p>
    <w:p w14:paraId="38E9DC68" w14:textId="34C76D78" w:rsidR="00454F93" w:rsidRPr="005D344F" w:rsidRDefault="00454F93" w:rsidP="00454F93">
      <w:pPr>
        <w:spacing w:before="240"/>
        <w:rPr>
          <w:rFonts w:ascii="Arial" w:hAnsi="Arial" w:cs="Arial"/>
          <w:sz w:val="22"/>
          <w:szCs w:val="22"/>
          <w:lang w:eastAsia="ru-RU"/>
        </w:rPr>
      </w:pPr>
      <w:r w:rsidRPr="005D344F">
        <w:rPr>
          <w:rFonts w:ascii="Arial" w:hAnsi="Arial" w:cs="Arial"/>
          <w:b/>
          <w:bCs/>
          <w:sz w:val="22"/>
          <w:szCs w:val="22"/>
        </w:rPr>
        <w:t>Task 1.</w:t>
      </w:r>
      <w:r w:rsidRPr="005D344F">
        <w:rPr>
          <w:rFonts w:ascii="Arial" w:hAnsi="Arial" w:cs="Arial"/>
          <w:sz w:val="22"/>
          <w:szCs w:val="22"/>
        </w:rPr>
        <w:t xml:space="preserve"> </w:t>
      </w:r>
      <w:r w:rsidRPr="005D344F">
        <w:rPr>
          <w:rFonts w:ascii="Arial" w:hAnsi="Arial" w:cs="Arial"/>
          <w:sz w:val="22"/>
          <w:szCs w:val="22"/>
          <w:lang w:eastAsia="ru-RU"/>
        </w:rPr>
        <w:t xml:space="preserve">Legal and Regulatory Review: To review the existing legal and regulatory framework for Awqaf in Uzbekistan and identify gaps, inconsistencies and areas for improvement. To develop a comprehensive legal and regulatory framework for Awqaf that aligns with international best practices and is consistent with Uzbekistan's legal system and cultural </w:t>
      </w:r>
      <w:r w:rsidRPr="005D344F">
        <w:rPr>
          <w:rFonts w:ascii="Arial" w:hAnsi="Arial" w:cs="Arial"/>
          <w:sz w:val="22"/>
          <w:szCs w:val="22"/>
          <w:lang w:eastAsia="ru-RU"/>
        </w:rPr>
        <w:lastRenderedPageBreak/>
        <w:t>norms. To draft a comprehensive Awqaf law that covers all aspects of Awqaf, including establishment, management, governance, fundraising, distribution of assets, and accountability.</w:t>
      </w:r>
    </w:p>
    <w:p w14:paraId="7EB95F97" w14:textId="759052D8" w:rsidR="00454F93" w:rsidRPr="005D344F" w:rsidRDefault="00454F93" w:rsidP="00454F93">
      <w:pPr>
        <w:spacing w:before="240"/>
        <w:ind w:firstLine="709"/>
        <w:rPr>
          <w:rFonts w:ascii="Arial" w:hAnsi="Arial" w:cs="Arial"/>
          <w:sz w:val="22"/>
          <w:szCs w:val="22"/>
          <w:lang w:eastAsia="ru-RU"/>
        </w:rPr>
      </w:pPr>
      <w:r w:rsidRPr="005D344F">
        <w:rPr>
          <w:rFonts w:ascii="Arial" w:hAnsi="Arial" w:cs="Arial"/>
          <w:b/>
          <w:bCs/>
          <w:sz w:val="22"/>
          <w:szCs w:val="22"/>
        </w:rPr>
        <w:t>Task 2.</w:t>
      </w:r>
      <w:r w:rsidRPr="005D344F">
        <w:rPr>
          <w:rFonts w:ascii="Arial" w:hAnsi="Arial" w:cs="Arial"/>
          <w:sz w:val="22"/>
          <w:szCs w:val="22"/>
        </w:rPr>
        <w:t xml:space="preserve"> </w:t>
      </w:r>
      <w:r w:rsidRPr="005D344F">
        <w:rPr>
          <w:rFonts w:ascii="Arial" w:hAnsi="Arial" w:cs="Arial"/>
          <w:sz w:val="22"/>
          <w:szCs w:val="22"/>
          <w:lang w:eastAsia="ru-RU"/>
        </w:rPr>
        <w:t>Capacity Building: Develop and deliver capacity-building programmes for relevant stakeholders, including government officials, religious leaders, and civil society organizations, to enhance their understanding of Awqaf and promote their active involvement in their establishment and management.</w:t>
      </w:r>
    </w:p>
    <w:p w14:paraId="28950D95" w14:textId="77CD2EC8" w:rsidR="00454F93" w:rsidRPr="005D344F" w:rsidRDefault="00454F93" w:rsidP="00454F93">
      <w:pPr>
        <w:spacing w:before="240"/>
        <w:ind w:firstLine="709"/>
        <w:rPr>
          <w:rFonts w:ascii="Arial" w:hAnsi="Arial" w:cs="Arial"/>
          <w:sz w:val="22"/>
          <w:szCs w:val="22"/>
          <w:lang w:eastAsia="ru-RU"/>
        </w:rPr>
      </w:pPr>
      <w:r w:rsidRPr="005D344F">
        <w:rPr>
          <w:rFonts w:ascii="Arial" w:hAnsi="Arial" w:cs="Arial"/>
          <w:b/>
          <w:bCs/>
          <w:sz w:val="22"/>
          <w:szCs w:val="22"/>
        </w:rPr>
        <w:t>Task 3.</w:t>
      </w:r>
      <w:r w:rsidRPr="005D344F">
        <w:rPr>
          <w:rFonts w:ascii="Arial" w:hAnsi="Arial" w:cs="Arial"/>
          <w:sz w:val="22"/>
          <w:szCs w:val="22"/>
        </w:rPr>
        <w:t xml:space="preserve"> </w:t>
      </w:r>
      <w:r w:rsidRPr="005D344F">
        <w:rPr>
          <w:rFonts w:ascii="Arial" w:hAnsi="Arial" w:cs="Arial"/>
          <w:sz w:val="22"/>
          <w:szCs w:val="22"/>
          <w:lang w:eastAsia="ru-RU"/>
        </w:rPr>
        <w:t xml:space="preserve"> Awareness Creation: Develop and implement awareness creation programmes to increase public understanding, confidence and trust in the Awqaf sector as a viable, sustainable and effective means of addressing social, economic and religious needs.</w:t>
      </w:r>
    </w:p>
    <w:p w14:paraId="7936CBFE" w14:textId="03E9FD7E" w:rsidR="00454F93" w:rsidRPr="005D344F" w:rsidRDefault="00454F93" w:rsidP="00454F93">
      <w:pPr>
        <w:spacing w:before="240"/>
        <w:ind w:firstLine="709"/>
        <w:rPr>
          <w:rFonts w:ascii="Arial" w:hAnsi="Arial" w:cs="Arial"/>
          <w:sz w:val="22"/>
          <w:szCs w:val="22"/>
          <w:lang w:eastAsia="ru-RU"/>
        </w:rPr>
      </w:pPr>
      <w:r w:rsidRPr="005D344F">
        <w:rPr>
          <w:rFonts w:ascii="Arial" w:hAnsi="Arial" w:cs="Arial"/>
          <w:b/>
          <w:bCs/>
          <w:sz w:val="22"/>
          <w:szCs w:val="22"/>
        </w:rPr>
        <w:t>Task 4.</w:t>
      </w:r>
      <w:r w:rsidRPr="005D344F">
        <w:rPr>
          <w:rFonts w:ascii="Arial" w:hAnsi="Arial" w:cs="Arial"/>
          <w:sz w:val="22"/>
          <w:szCs w:val="22"/>
        </w:rPr>
        <w:t xml:space="preserve"> </w:t>
      </w:r>
      <w:r w:rsidRPr="005D344F">
        <w:rPr>
          <w:rFonts w:ascii="Arial" w:hAnsi="Arial" w:cs="Arial"/>
          <w:sz w:val="22"/>
          <w:szCs w:val="22"/>
          <w:lang w:eastAsia="ru-RU"/>
        </w:rPr>
        <w:t xml:space="preserve"> Supervisory Framework: Design and implement a supervisory framework for Awqaf to ensure compliance with applicable laws and regulations, promote accountability and transparency, and protect the interests of Awqaf beneficiaries.</w:t>
      </w:r>
    </w:p>
    <w:p w14:paraId="2E704BC2" w14:textId="30485301" w:rsidR="00454F93" w:rsidRPr="005D344F" w:rsidRDefault="00454F93" w:rsidP="00454F93">
      <w:pPr>
        <w:spacing w:before="240"/>
        <w:rPr>
          <w:rFonts w:ascii="Arial" w:hAnsi="Arial" w:cs="Arial"/>
          <w:b/>
          <w:bCs/>
          <w:sz w:val="22"/>
          <w:szCs w:val="22"/>
          <w:lang w:eastAsia="ru-RU"/>
        </w:rPr>
      </w:pPr>
      <w:r w:rsidRPr="005D344F">
        <w:rPr>
          <w:rFonts w:ascii="Arial" w:hAnsi="Arial" w:cs="Arial"/>
          <w:b/>
          <w:bCs/>
          <w:sz w:val="22"/>
          <w:szCs w:val="22"/>
        </w:rPr>
        <w:t>3.1 DETAILED SCOPE OF WORK</w:t>
      </w:r>
    </w:p>
    <w:p w14:paraId="6C18C814" w14:textId="739208A9" w:rsidR="00454F93" w:rsidRPr="005D344F" w:rsidRDefault="00454F93" w:rsidP="00454F93">
      <w:pPr>
        <w:spacing w:before="240" w:line="276" w:lineRule="auto"/>
        <w:rPr>
          <w:rFonts w:ascii="Arial" w:hAnsi="Arial" w:cs="Arial"/>
          <w:sz w:val="22"/>
          <w:szCs w:val="22"/>
        </w:rPr>
      </w:pPr>
      <w:r w:rsidRPr="005D344F">
        <w:rPr>
          <w:rFonts w:ascii="Arial" w:hAnsi="Arial" w:cs="Arial"/>
          <w:sz w:val="22"/>
          <w:szCs w:val="22"/>
        </w:rPr>
        <w:t>This assignment includes the following detailed tasks. All Tasks shall be carried out in close consultations and coordination with the Committee</w:t>
      </w:r>
      <w:r w:rsidR="0000702F">
        <w:rPr>
          <w:rFonts w:ascii="Arial" w:hAnsi="Arial" w:cs="Arial"/>
          <w:sz w:val="22"/>
          <w:szCs w:val="22"/>
        </w:rPr>
        <w:t xml:space="preserve">, which </w:t>
      </w:r>
      <w:r w:rsidRPr="005D344F">
        <w:rPr>
          <w:rFonts w:ascii="Arial" w:hAnsi="Arial" w:cs="Arial"/>
          <w:sz w:val="22"/>
          <w:szCs w:val="22"/>
        </w:rPr>
        <w:t>will also provide administrative and information support to the Consultant throughout all stages of this assignment.</w:t>
      </w:r>
    </w:p>
    <w:p w14:paraId="2C90BEAB" w14:textId="00294044" w:rsidR="00454F93" w:rsidRPr="00454F93" w:rsidRDefault="00454F93" w:rsidP="00454F93">
      <w:pPr>
        <w:spacing w:before="240" w:line="276" w:lineRule="auto"/>
        <w:rPr>
          <w:rFonts w:ascii="Arial" w:hAnsi="Arial" w:cs="Arial"/>
          <w:sz w:val="22"/>
          <w:szCs w:val="22"/>
        </w:rPr>
      </w:pPr>
      <w:r w:rsidRPr="00454F93">
        <w:rPr>
          <w:rFonts w:ascii="Arial" w:hAnsi="Arial" w:cs="Arial"/>
          <w:sz w:val="22"/>
          <w:szCs w:val="22"/>
        </w:rPr>
        <w:t xml:space="preserve">The </w:t>
      </w:r>
      <w:r w:rsidRPr="005D344F">
        <w:rPr>
          <w:rFonts w:ascii="Arial" w:hAnsi="Arial" w:cs="Arial"/>
          <w:b/>
          <w:bCs/>
          <w:sz w:val="22"/>
          <w:szCs w:val="22"/>
        </w:rPr>
        <w:t>Task 1</w:t>
      </w:r>
      <w:r w:rsidRPr="00454F93">
        <w:rPr>
          <w:rFonts w:ascii="Arial" w:hAnsi="Arial" w:cs="Arial"/>
          <w:sz w:val="22"/>
          <w:szCs w:val="22"/>
        </w:rPr>
        <w:t xml:space="preserve"> should aim to:</w:t>
      </w:r>
    </w:p>
    <w:p w14:paraId="47EF5EEB" w14:textId="77777777" w:rsidR="00454F93" w:rsidRPr="00454F93" w:rsidRDefault="00454F93" w:rsidP="00454F93">
      <w:pPr>
        <w:numPr>
          <w:ilvl w:val="0"/>
          <w:numId w:val="23"/>
        </w:numPr>
        <w:spacing w:before="240" w:line="276" w:lineRule="auto"/>
        <w:rPr>
          <w:rFonts w:ascii="Arial" w:hAnsi="Arial" w:cs="Arial"/>
          <w:sz w:val="22"/>
          <w:szCs w:val="22"/>
        </w:rPr>
      </w:pPr>
      <w:r w:rsidRPr="00454F93">
        <w:rPr>
          <w:rFonts w:ascii="Arial" w:hAnsi="Arial" w:cs="Arial"/>
          <w:sz w:val="22"/>
          <w:szCs w:val="22"/>
        </w:rPr>
        <w:t>Identify all relevant legislation, regulations, and guidelines related to Awqaf in Uzbekistan.</w:t>
      </w:r>
    </w:p>
    <w:p w14:paraId="45192B12" w14:textId="77777777" w:rsidR="00454F93" w:rsidRPr="00454F93" w:rsidRDefault="00454F93" w:rsidP="00454F93">
      <w:pPr>
        <w:numPr>
          <w:ilvl w:val="0"/>
          <w:numId w:val="23"/>
        </w:numPr>
        <w:spacing w:before="240" w:line="276" w:lineRule="auto"/>
        <w:rPr>
          <w:rFonts w:ascii="Arial" w:hAnsi="Arial" w:cs="Arial"/>
          <w:sz w:val="22"/>
          <w:szCs w:val="22"/>
        </w:rPr>
      </w:pPr>
      <w:r w:rsidRPr="00454F93">
        <w:rPr>
          <w:rFonts w:ascii="Arial" w:hAnsi="Arial" w:cs="Arial"/>
          <w:sz w:val="22"/>
          <w:szCs w:val="22"/>
        </w:rPr>
        <w:t>Analyze the existing legal and regulatory framework to identify gaps, inconsistencies, and areas for improvement.</w:t>
      </w:r>
    </w:p>
    <w:p w14:paraId="7196393D" w14:textId="77777777" w:rsidR="00454F93" w:rsidRPr="00454F93" w:rsidRDefault="00454F93" w:rsidP="00454F93">
      <w:pPr>
        <w:numPr>
          <w:ilvl w:val="0"/>
          <w:numId w:val="23"/>
        </w:numPr>
        <w:spacing w:before="240" w:line="276" w:lineRule="auto"/>
        <w:rPr>
          <w:rFonts w:ascii="Arial" w:hAnsi="Arial" w:cs="Arial"/>
          <w:sz w:val="22"/>
          <w:szCs w:val="22"/>
        </w:rPr>
      </w:pPr>
      <w:r w:rsidRPr="00454F93">
        <w:rPr>
          <w:rFonts w:ascii="Arial" w:hAnsi="Arial" w:cs="Arial"/>
          <w:sz w:val="22"/>
          <w:szCs w:val="22"/>
        </w:rPr>
        <w:t>Evaluate the effectiveness of the current legal and regulatory framework in promoting the establishment and development of Awqaf in Uzbekistan.</w:t>
      </w:r>
    </w:p>
    <w:p w14:paraId="2B1EC1FD" w14:textId="77777777" w:rsidR="00454F93" w:rsidRPr="00454F93" w:rsidRDefault="00454F93" w:rsidP="00454F93">
      <w:pPr>
        <w:numPr>
          <w:ilvl w:val="0"/>
          <w:numId w:val="23"/>
        </w:numPr>
        <w:spacing w:before="240" w:line="276" w:lineRule="auto"/>
        <w:rPr>
          <w:rFonts w:ascii="Arial" w:hAnsi="Arial" w:cs="Arial"/>
          <w:sz w:val="22"/>
          <w:szCs w:val="22"/>
        </w:rPr>
      </w:pPr>
      <w:r w:rsidRPr="00454F93">
        <w:rPr>
          <w:rFonts w:ascii="Arial" w:hAnsi="Arial" w:cs="Arial"/>
          <w:sz w:val="22"/>
          <w:szCs w:val="22"/>
        </w:rPr>
        <w:t>Identify any challenges or barriers that may be hindering the development of Awqaf in Uzbekistan.</w:t>
      </w:r>
    </w:p>
    <w:p w14:paraId="5604BEE1" w14:textId="77777777" w:rsidR="00454F93" w:rsidRPr="00454F93" w:rsidRDefault="00454F93" w:rsidP="00454F93">
      <w:pPr>
        <w:numPr>
          <w:ilvl w:val="0"/>
          <w:numId w:val="23"/>
        </w:numPr>
        <w:spacing w:before="240" w:line="276" w:lineRule="auto"/>
        <w:rPr>
          <w:rFonts w:ascii="Arial" w:hAnsi="Arial" w:cs="Arial"/>
          <w:sz w:val="22"/>
          <w:szCs w:val="22"/>
        </w:rPr>
      </w:pPr>
      <w:r w:rsidRPr="00454F93">
        <w:rPr>
          <w:rFonts w:ascii="Arial" w:hAnsi="Arial" w:cs="Arial"/>
          <w:sz w:val="22"/>
          <w:szCs w:val="22"/>
        </w:rPr>
        <w:t>Evaluate the level of compliance of Awqaf institutions with the current legal and regulatory framework.</w:t>
      </w:r>
    </w:p>
    <w:p w14:paraId="0F1BB1E1" w14:textId="77777777" w:rsidR="00454F93" w:rsidRPr="00454F93" w:rsidRDefault="00454F93" w:rsidP="00454F93">
      <w:pPr>
        <w:numPr>
          <w:ilvl w:val="0"/>
          <w:numId w:val="23"/>
        </w:numPr>
        <w:spacing w:before="240" w:line="276" w:lineRule="auto"/>
        <w:rPr>
          <w:rFonts w:ascii="Arial" w:hAnsi="Arial" w:cs="Arial"/>
          <w:sz w:val="22"/>
          <w:szCs w:val="22"/>
        </w:rPr>
      </w:pPr>
      <w:r w:rsidRPr="00454F93">
        <w:rPr>
          <w:rFonts w:ascii="Arial" w:hAnsi="Arial" w:cs="Arial"/>
          <w:sz w:val="22"/>
          <w:szCs w:val="22"/>
        </w:rPr>
        <w:t>Assess the level of public awareness and understanding of Awqaf in Uzbekistan.</w:t>
      </w:r>
    </w:p>
    <w:p w14:paraId="3483CD0C" w14:textId="77777777" w:rsidR="00454F93" w:rsidRPr="00454F93" w:rsidRDefault="00454F93" w:rsidP="00454F93">
      <w:pPr>
        <w:numPr>
          <w:ilvl w:val="0"/>
          <w:numId w:val="23"/>
        </w:numPr>
        <w:spacing w:before="240" w:line="276" w:lineRule="auto"/>
        <w:rPr>
          <w:rFonts w:ascii="Arial" w:hAnsi="Arial" w:cs="Arial"/>
          <w:sz w:val="22"/>
          <w:szCs w:val="22"/>
        </w:rPr>
      </w:pPr>
      <w:r w:rsidRPr="00454F93">
        <w:rPr>
          <w:rFonts w:ascii="Arial" w:hAnsi="Arial" w:cs="Arial"/>
          <w:sz w:val="22"/>
          <w:szCs w:val="22"/>
        </w:rPr>
        <w:t>Identify any relevant international standards and best practices that may be applicable to the development of the legal and regulatory framework for Awqaf in Uzbekistan.</w:t>
      </w:r>
    </w:p>
    <w:p w14:paraId="3F5E03B3" w14:textId="77777777" w:rsidR="00454F93" w:rsidRPr="00454F93" w:rsidRDefault="00454F93" w:rsidP="00454F93">
      <w:pPr>
        <w:spacing w:before="240" w:line="276" w:lineRule="auto"/>
        <w:rPr>
          <w:rFonts w:ascii="Arial" w:hAnsi="Arial" w:cs="Arial"/>
          <w:sz w:val="22"/>
          <w:szCs w:val="22"/>
        </w:rPr>
      </w:pPr>
      <w:r w:rsidRPr="00454F93">
        <w:rPr>
          <w:rFonts w:ascii="Arial" w:hAnsi="Arial" w:cs="Arial"/>
          <w:sz w:val="22"/>
          <w:szCs w:val="22"/>
        </w:rPr>
        <w:t>Based on the findings of the legal and regulatory review, the consultant should develop a comprehensive legal and regulatory framework for Awqaf in Uzbekistan that aligns with international best practices and is consistent with Uzbekistan's legal system and cultural norms. The framework should include clear guidelines and regulations for the establishment, management, governance, fundraising, distribution of assets, and accountability of Awqaf institutions.</w:t>
      </w:r>
    </w:p>
    <w:p w14:paraId="14C0C8AA" w14:textId="77777777" w:rsidR="00454F93" w:rsidRPr="00454F93" w:rsidRDefault="00454F93" w:rsidP="00454F93">
      <w:pPr>
        <w:spacing w:before="240" w:line="276" w:lineRule="auto"/>
        <w:rPr>
          <w:rFonts w:ascii="Arial" w:hAnsi="Arial" w:cs="Arial"/>
          <w:sz w:val="22"/>
          <w:szCs w:val="22"/>
        </w:rPr>
      </w:pPr>
      <w:r w:rsidRPr="00454F93">
        <w:rPr>
          <w:rFonts w:ascii="Arial" w:hAnsi="Arial" w:cs="Arial"/>
          <w:sz w:val="22"/>
          <w:szCs w:val="22"/>
        </w:rPr>
        <w:lastRenderedPageBreak/>
        <w:t>To draft a comprehensive Awqaf law, the consultant should engage with relevant stakeholders, including government agencies, civil society organizations, and Awqaf institutions. The law should cover all aspects of Awqaf, including establishment, management, governance, fundraising, distribution of assets, and accountability. The law should also align with international best practices and be consistent with Uzbekistan's legal system and cultural norms.</w:t>
      </w:r>
    </w:p>
    <w:p w14:paraId="42DEE50B" w14:textId="77777777" w:rsidR="00454F93" w:rsidRPr="00454F93" w:rsidRDefault="00454F93" w:rsidP="00454F93">
      <w:pPr>
        <w:spacing w:before="240" w:line="276" w:lineRule="auto"/>
        <w:rPr>
          <w:rFonts w:ascii="Arial" w:hAnsi="Arial" w:cs="Arial"/>
          <w:sz w:val="22"/>
          <w:szCs w:val="22"/>
        </w:rPr>
      </w:pPr>
      <w:r w:rsidRPr="00454F93">
        <w:rPr>
          <w:rFonts w:ascii="Arial" w:hAnsi="Arial" w:cs="Arial"/>
          <w:sz w:val="22"/>
          <w:szCs w:val="22"/>
        </w:rPr>
        <w:t>The consultant should consider the following when drafting the Awqaf law:</w:t>
      </w:r>
    </w:p>
    <w:p w14:paraId="7C05B52D" w14:textId="77777777" w:rsidR="00454F93" w:rsidRPr="00454F93" w:rsidRDefault="00454F93" w:rsidP="00454F93">
      <w:pPr>
        <w:numPr>
          <w:ilvl w:val="0"/>
          <w:numId w:val="24"/>
        </w:numPr>
        <w:spacing w:before="240" w:line="276" w:lineRule="auto"/>
        <w:rPr>
          <w:rFonts w:ascii="Arial" w:hAnsi="Arial" w:cs="Arial"/>
          <w:sz w:val="22"/>
          <w:szCs w:val="22"/>
        </w:rPr>
      </w:pPr>
      <w:r w:rsidRPr="00454F93">
        <w:rPr>
          <w:rFonts w:ascii="Arial" w:hAnsi="Arial" w:cs="Arial"/>
          <w:sz w:val="22"/>
          <w:szCs w:val="22"/>
        </w:rPr>
        <w:t>The legal and regulatory framework for Awqaf in Uzbekistan and any gaps or inconsistencies identified in the legal and regulatory review.</w:t>
      </w:r>
    </w:p>
    <w:p w14:paraId="02048BEB" w14:textId="77777777" w:rsidR="00454F93" w:rsidRPr="00454F93" w:rsidRDefault="00454F93" w:rsidP="00454F93">
      <w:pPr>
        <w:numPr>
          <w:ilvl w:val="0"/>
          <w:numId w:val="24"/>
        </w:numPr>
        <w:spacing w:before="240" w:line="276" w:lineRule="auto"/>
        <w:rPr>
          <w:rFonts w:ascii="Arial" w:hAnsi="Arial" w:cs="Arial"/>
          <w:sz w:val="22"/>
          <w:szCs w:val="22"/>
        </w:rPr>
      </w:pPr>
      <w:r w:rsidRPr="00454F93">
        <w:rPr>
          <w:rFonts w:ascii="Arial" w:hAnsi="Arial" w:cs="Arial"/>
          <w:sz w:val="22"/>
          <w:szCs w:val="22"/>
        </w:rPr>
        <w:t>Relevant international standards and best practices.</w:t>
      </w:r>
    </w:p>
    <w:p w14:paraId="0378608F" w14:textId="77777777" w:rsidR="00454F93" w:rsidRPr="00454F93" w:rsidRDefault="00454F93" w:rsidP="00454F93">
      <w:pPr>
        <w:numPr>
          <w:ilvl w:val="0"/>
          <w:numId w:val="24"/>
        </w:numPr>
        <w:spacing w:before="240" w:line="276" w:lineRule="auto"/>
        <w:rPr>
          <w:rFonts w:ascii="Arial" w:hAnsi="Arial" w:cs="Arial"/>
          <w:sz w:val="22"/>
          <w:szCs w:val="22"/>
        </w:rPr>
      </w:pPr>
      <w:r w:rsidRPr="00454F93">
        <w:rPr>
          <w:rFonts w:ascii="Arial" w:hAnsi="Arial" w:cs="Arial"/>
          <w:sz w:val="22"/>
          <w:szCs w:val="22"/>
        </w:rPr>
        <w:t>Cultural and social factors that may influence the development of Awqaf in Uzbekistan.</w:t>
      </w:r>
    </w:p>
    <w:p w14:paraId="3C1D0B8B" w14:textId="77777777" w:rsidR="00454F93" w:rsidRPr="00454F93" w:rsidRDefault="00454F93" w:rsidP="00454F93">
      <w:pPr>
        <w:numPr>
          <w:ilvl w:val="0"/>
          <w:numId w:val="24"/>
        </w:numPr>
        <w:spacing w:before="240" w:line="276" w:lineRule="auto"/>
        <w:rPr>
          <w:rFonts w:ascii="Arial" w:hAnsi="Arial" w:cs="Arial"/>
          <w:sz w:val="22"/>
          <w:szCs w:val="22"/>
        </w:rPr>
      </w:pPr>
      <w:r w:rsidRPr="00454F93">
        <w:rPr>
          <w:rFonts w:ascii="Arial" w:hAnsi="Arial" w:cs="Arial"/>
          <w:sz w:val="22"/>
          <w:szCs w:val="22"/>
        </w:rPr>
        <w:t>The perspectives and input of relevant stakeholders.</w:t>
      </w:r>
    </w:p>
    <w:p w14:paraId="4150A9CE" w14:textId="77777777" w:rsidR="00454F93" w:rsidRPr="00454F93" w:rsidRDefault="00454F93" w:rsidP="00454F93">
      <w:pPr>
        <w:spacing w:before="240" w:line="276" w:lineRule="auto"/>
        <w:rPr>
          <w:rFonts w:ascii="Arial" w:hAnsi="Arial" w:cs="Arial"/>
          <w:sz w:val="22"/>
          <w:szCs w:val="22"/>
        </w:rPr>
      </w:pPr>
      <w:r w:rsidRPr="00454F93">
        <w:rPr>
          <w:rFonts w:ascii="Arial" w:hAnsi="Arial" w:cs="Arial"/>
          <w:sz w:val="22"/>
          <w:szCs w:val="22"/>
        </w:rPr>
        <w:t>The consultant should ensure that the draft law is clear, concise, and easy to understand for all stakeholders. The consultant should also ensure that the draft law provides a strong legal framework for the establishment and development of Awqaf in Uzbekistan.</w:t>
      </w:r>
    </w:p>
    <w:p w14:paraId="5712FFD2" w14:textId="1CCD848C" w:rsidR="00141970" w:rsidRPr="00141970" w:rsidRDefault="00141970" w:rsidP="00141970">
      <w:pPr>
        <w:spacing w:before="240" w:line="276" w:lineRule="auto"/>
        <w:rPr>
          <w:rFonts w:ascii="Arial" w:hAnsi="Arial" w:cs="Arial"/>
          <w:sz w:val="22"/>
          <w:szCs w:val="22"/>
        </w:rPr>
      </w:pPr>
      <w:r w:rsidRPr="00141970">
        <w:rPr>
          <w:rFonts w:ascii="Arial" w:hAnsi="Arial" w:cs="Arial"/>
          <w:sz w:val="22"/>
          <w:szCs w:val="22"/>
        </w:rPr>
        <w:t xml:space="preserve">The </w:t>
      </w:r>
      <w:r w:rsidRPr="005D344F">
        <w:rPr>
          <w:rFonts w:ascii="Arial" w:hAnsi="Arial" w:cs="Arial"/>
          <w:b/>
          <w:bCs/>
          <w:sz w:val="22"/>
          <w:szCs w:val="22"/>
        </w:rPr>
        <w:t>Task 2</w:t>
      </w:r>
      <w:r w:rsidRPr="00141970">
        <w:rPr>
          <w:rFonts w:ascii="Arial" w:hAnsi="Arial" w:cs="Arial"/>
          <w:sz w:val="22"/>
          <w:szCs w:val="22"/>
        </w:rPr>
        <w:t xml:space="preserve"> should aim to:</w:t>
      </w:r>
    </w:p>
    <w:p w14:paraId="0EED0ADC" w14:textId="77777777" w:rsidR="00141970" w:rsidRPr="00141970" w:rsidRDefault="00141970" w:rsidP="00141970">
      <w:pPr>
        <w:numPr>
          <w:ilvl w:val="0"/>
          <w:numId w:val="25"/>
        </w:numPr>
        <w:spacing w:before="240" w:line="276" w:lineRule="auto"/>
        <w:rPr>
          <w:rFonts w:ascii="Arial" w:hAnsi="Arial" w:cs="Arial"/>
          <w:sz w:val="22"/>
          <w:szCs w:val="22"/>
        </w:rPr>
      </w:pPr>
      <w:r w:rsidRPr="00141970">
        <w:rPr>
          <w:rFonts w:ascii="Arial" w:hAnsi="Arial" w:cs="Arial"/>
          <w:sz w:val="22"/>
          <w:szCs w:val="22"/>
        </w:rPr>
        <w:t>Enhance the understanding of Awqaf and their potential role in addressing social and economic development challenges in Uzbekistan.</w:t>
      </w:r>
    </w:p>
    <w:p w14:paraId="36C65F28" w14:textId="77777777" w:rsidR="00141970" w:rsidRPr="00141970" w:rsidRDefault="00141970" w:rsidP="00141970">
      <w:pPr>
        <w:numPr>
          <w:ilvl w:val="0"/>
          <w:numId w:val="25"/>
        </w:numPr>
        <w:spacing w:before="240" w:line="276" w:lineRule="auto"/>
        <w:rPr>
          <w:rFonts w:ascii="Arial" w:hAnsi="Arial" w:cs="Arial"/>
          <w:sz w:val="22"/>
          <w:szCs w:val="22"/>
        </w:rPr>
      </w:pPr>
      <w:r w:rsidRPr="00141970">
        <w:rPr>
          <w:rFonts w:ascii="Arial" w:hAnsi="Arial" w:cs="Arial"/>
          <w:sz w:val="22"/>
          <w:szCs w:val="22"/>
        </w:rPr>
        <w:t>Build the capacity of government officials, religious leaders, and civil society organizations to effectively establish, manage, and govern Awqaf institutions.</w:t>
      </w:r>
    </w:p>
    <w:p w14:paraId="733D5513" w14:textId="77777777" w:rsidR="00141970" w:rsidRPr="00141970" w:rsidRDefault="00141970" w:rsidP="00141970">
      <w:pPr>
        <w:numPr>
          <w:ilvl w:val="0"/>
          <w:numId w:val="25"/>
        </w:numPr>
        <w:spacing w:before="240" w:line="276" w:lineRule="auto"/>
        <w:rPr>
          <w:rFonts w:ascii="Arial" w:hAnsi="Arial" w:cs="Arial"/>
          <w:sz w:val="22"/>
          <w:szCs w:val="22"/>
        </w:rPr>
      </w:pPr>
      <w:r w:rsidRPr="00141970">
        <w:rPr>
          <w:rFonts w:ascii="Arial" w:hAnsi="Arial" w:cs="Arial"/>
          <w:sz w:val="22"/>
          <w:szCs w:val="22"/>
        </w:rPr>
        <w:t>Promote the active involvement of relevant stakeholders in the establishment and management of Awqaf institutions.</w:t>
      </w:r>
    </w:p>
    <w:p w14:paraId="12F5A80D" w14:textId="77777777" w:rsidR="00141970" w:rsidRPr="00141970" w:rsidRDefault="00141970" w:rsidP="00141970">
      <w:pPr>
        <w:numPr>
          <w:ilvl w:val="0"/>
          <w:numId w:val="25"/>
        </w:numPr>
        <w:spacing w:before="240" w:line="276" w:lineRule="auto"/>
        <w:rPr>
          <w:rFonts w:ascii="Arial" w:hAnsi="Arial" w:cs="Arial"/>
          <w:sz w:val="22"/>
          <w:szCs w:val="22"/>
        </w:rPr>
      </w:pPr>
      <w:r w:rsidRPr="00141970">
        <w:rPr>
          <w:rFonts w:ascii="Arial" w:hAnsi="Arial" w:cs="Arial"/>
          <w:sz w:val="22"/>
          <w:szCs w:val="22"/>
        </w:rPr>
        <w:t>Enhance the awareness and understanding of the legal and regulatory framework for Awqaf in Uzbekistan and the role of stakeholders in ensuring compliance.</w:t>
      </w:r>
    </w:p>
    <w:p w14:paraId="753CAECB" w14:textId="77777777" w:rsidR="00141970" w:rsidRPr="00141970" w:rsidRDefault="00141970" w:rsidP="00141970">
      <w:pPr>
        <w:numPr>
          <w:ilvl w:val="0"/>
          <w:numId w:val="25"/>
        </w:numPr>
        <w:spacing w:before="240" w:line="276" w:lineRule="auto"/>
        <w:rPr>
          <w:rFonts w:ascii="Arial" w:hAnsi="Arial" w:cs="Arial"/>
          <w:sz w:val="22"/>
          <w:szCs w:val="22"/>
        </w:rPr>
      </w:pPr>
      <w:r w:rsidRPr="00141970">
        <w:rPr>
          <w:rFonts w:ascii="Arial" w:hAnsi="Arial" w:cs="Arial"/>
          <w:sz w:val="22"/>
          <w:szCs w:val="22"/>
        </w:rPr>
        <w:t>Promote the sharing of best practices and experiences in the establishment and management of Awqaf institutions.</w:t>
      </w:r>
    </w:p>
    <w:p w14:paraId="340AAB2A" w14:textId="77777777" w:rsidR="00141970" w:rsidRPr="00141970" w:rsidRDefault="00141970" w:rsidP="00141970">
      <w:pPr>
        <w:spacing w:before="240" w:line="276" w:lineRule="auto"/>
        <w:rPr>
          <w:rFonts w:ascii="Arial" w:hAnsi="Arial" w:cs="Arial"/>
          <w:sz w:val="22"/>
          <w:szCs w:val="22"/>
        </w:rPr>
      </w:pPr>
      <w:r w:rsidRPr="00141970">
        <w:rPr>
          <w:rFonts w:ascii="Arial" w:hAnsi="Arial" w:cs="Arial"/>
          <w:sz w:val="22"/>
          <w:szCs w:val="22"/>
        </w:rPr>
        <w:t>The capacity-building programmes should be tailored to the needs of each stakeholder group and should be delivered through a variety of methods, including workshops, training sessions, and mentoring.</w:t>
      </w:r>
    </w:p>
    <w:p w14:paraId="18554932" w14:textId="77777777" w:rsidR="00141970" w:rsidRPr="00141970" w:rsidRDefault="00141970" w:rsidP="00141970">
      <w:pPr>
        <w:spacing w:before="240" w:line="276" w:lineRule="auto"/>
        <w:rPr>
          <w:rFonts w:ascii="Arial" w:hAnsi="Arial" w:cs="Arial"/>
          <w:sz w:val="22"/>
          <w:szCs w:val="22"/>
        </w:rPr>
      </w:pPr>
      <w:r w:rsidRPr="00141970">
        <w:rPr>
          <w:rFonts w:ascii="Arial" w:hAnsi="Arial" w:cs="Arial"/>
          <w:sz w:val="22"/>
          <w:szCs w:val="22"/>
        </w:rPr>
        <w:t>The consultant should consider the following when developing and delivering the capacity-building programmes:</w:t>
      </w:r>
    </w:p>
    <w:p w14:paraId="1AE5BBF6" w14:textId="77777777" w:rsidR="00141970" w:rsidRPr="00141970" w:rsidRDefault="00141970" w:rsidP="00141970">
      <w:pPr>
        <w:numPr>
          <w:ilvl w:val="0"/>
          <w:numId w:val="26"/>
        </w:numPr>
        <w:spacing w:before="240" w:line="276" w:lineRule="auto"/>
        <w:rPr>
          <w:rFonts w:ascii="Arial" w:hAnsi="Arial" w:cs="Arial"/>
          <w:sz w:val="22"/>
          <w:szCs w:val="22"/>
        </w:rPr>
      </w:pPr>
      <w:r w:rsidRPr="00141970">
        <w:rPr>
          <w:rFonts w:ascii="Arial" w:hAnsi="Arial" w:cs="Arial"/>
          <w:sz w:val="22"/>
          <w:szCs w:val="22"/>
        </w:rPr>
        <w:t>The level of knowledge and understanding of Awqaf among each stakeholder group.</w:t>
      </w:r>
    </w:p>
    <w:p w14:paraId="7A689A11" w14:textId="77777777" w:rsidR="00141970" w:rsidRPr="00141970" w:rsidRDefault="00141970" w:rsidP="00141970">
      <w:pPr>
        <w:numPr>
          <w:ilvl w:val="0"/>
          <w:numId w:val="26"/>
        </w:numPr>
        <w:spacing w:before="240" w:line="276" w:lineRule="auto"/>
        <w:rPr>
          <w:rFonts w:ascii="Arial" w:hAnsi="Arial" w:cs="Arial"/>
          <w:sz w:val="22"/>
          <w:szCs w:val="22"/>
        </w:rPr>
      </w:pPr>
      <w:r w:rsidRPr="00141970">
        <w:rPr>
          <w:rFonts w:ascii="Arial" w:hAnsi="Arial" w:cs="Arial"/>
          <w:sz w:val="22"/>
          <w:szCs w:val="22"/>
        </w:rPr>
        <w:t>The specific roles and responsibilities of each stakeholder group in the establishment and management of Awqaf institutions.</w:t>
      </w:r>
    </w:p>
    <w:p w14:paraId="19EB65E1" w14:textId="77777777" w:rsidR="00141970" w:rsidRPr="00141970" w:rsidRDefault="00141970" w:rsidP="00141970">
      <w:pPr>
        <w:numPr>
          <w:ilvl w:val="0"/>
          <w:numId w:val="26"/>
        </w:numPr>
        <w:spacing w:before="240" w:line="276" w:lineRule="auto"/>
        <w:rPr>
          <w:rFonts w:ascii="Arial" w:hAnsi="Arial" w:cs="Arial"/>
          <w:sz w:val="22"/>
          <w:szCs w:val="22"/>
        </w:rPr>
      </w:pPr>
      <w:r w:rsidRPr="00141970">
        <w:rPr>
          <w:rFonts w:ascii="Arial" w:hAnsi="Arial" w:cs="Arial"/>
          <w:sz w:val="22"/>
          <w:szCs w:val="22"/>
        </w:rPr>
        <w:lastRenderedPageBreak/>
        <w:t>The cultural and social factors that may influence the involvement of each stakeholder group in the establishment and management of Awqaf institutions.</w:t>
      </w:r>
    </w:p>
    <w:p w14:paraId="76B02B32" w14:textId="77777777" w:rsidR="00141970" w:rsidRPr="00141970" w:rsidRDefault="00141970" w:rsidP="00141970">
      <w:pPr>
        <w:numPr>
          <w:ilvl w:val="0"/>
          <w:numId w:val="26"/>
        </w:numPr>
        <w:spacing w:before="240" w:line="276" w:lineRule="auto"/>
        <w:rPr>
          <w:rFonts w:ascii="Arial" w:hAnsi="Arial" w:cs="Arial"/>
          <w:sz w:val="22"/>
          <w:szCs w:val="22"/>
        </w:rPr>
      </w:pPr>
      <w:r w:rsidRPr="00141970">
        <w:rPr>
          <w:rFonts w:ascii="Arial" w:hAnsi="Arial" w:cs="Arial"/>
          <w:sz w:val="22"/>
          <w:szCs w:val="22"/>
        </w:rPr>
        <w:t>The availability of relevant resources, such as training materials and experts in the field.</w:t>
      </w:r>
    </w:p>
    <w:p w14:paraId="5F7621C9" w14:textId="77777777" w:rsidR="00141970" w:rsidRPr="00141970" w:rsidRDefault="00141970" w:rsidP="00141970">
      <w:pPr>
        <w:numPr>
          <w:ilvl w:val="0"/>
          <w:numId w:val="26"/>
        </w:numPr>
        <w:spacing w:before="240" w:line="276" w:lineRule="auto"/>
        <w:rPr>
          <w:rFonts w:ascii="Arial" w:hAnsi="Arial" w:cs="Arial"/>
          <w:sz w:val="22"/>
          <w:szCs w:val="22"/>
        </w:rPr>
      </w:pPr>
      <w:r w:rsidRPr="00141970">
        <w:rPr>
          <w:rFonts w:ascii="Arial" w:hAnsi="Arial" w:cs="Arial"/>
          <w:sz w:val="22"/>
          <w:szCs w:val="22"/>
        </w:rPr>
        <w:t>The need for ongoing support and follow-up to ensure the effective implementation of the capacity-building programmes.</w:t>
      </w:r>
    </w:p>
    <w:p w14:paraId="51FB0957" w14:textId="63E7C89A" w:rsidR="00141970" w:rsidRPr="00141970" w:rsidRDefault="00141970" w:rsidP="00141970">
      <w:pPr>
        <w:spacing w:before="240" w:line="276" w:lineRule="auto"/>
        <w:rPr>
          <w:rFonts w:ascii="Arial" w:hAnsi="Arial" w:cs="Arial"/>
          <w:sz w:val="22"/>
          <w:szCs w:val="22"/>
        </w:rPr>
      </w:pPr>
      <w:r w:rsidRPr="00141970">
        <w:rPr>
          <w:rFonts w:ascii="Arial" w:hAnsi="Arial" w:cs="Arial"/>
          <w:sz w:val="22"/>
          <w:szCs w:val="22"/>
        </w:rPr>
        <w:t>To develop and deliver the capacity-building programmes effectively, the consultant should engage with relevant stakeholders to identify their needs and priorities. The programmes should be designed to be interactive and participatory, allowing stakeholders to share their experiences and perspectives. The consultant should also consider incorporating case studies and real-life examples to illustrate the practical application of the concepts and principles being taught</w:t>
      </w:r>
      <w:r w:rsidRPr="005D344F">
        <w:rPr>
          <w:rFonts w:ascii="Arial" w:hAnsi="Arial" w:cs="Arial"/>
          <w:sz w:val="22"/>
          <w:szCs w:val="22"/>
        </w:rPr>
        <w:t xml:space="preserve"> and propose an appropriate Familiarization Visit to a Country selected with the best international practices</w:t>
      </w:r>
      <w:r w:rsidRPr="00141970">
        <w:rPr>
          <w:rFonts w:ascii="Arial" w:hAnsi="Arial" w:cs="Arial"/>
          <w:sz w:val="22"/>
          <w:szCs w:val="22"/>
        </w:rPr>
        <w:t>.</w:t>
      </w:r>
    </w:p>
    <w:p w14:paraId="26A228F9" w14:textId="77777777" w:rsidR="00141970" w:rsidRPr="00141970" w:rsidRDefault="00141970" w:rsidP="00141970">
      <w:pPr>
        <w:spacing w:before="240" w:line="276" w:lineRule="auto"/>
        <w:rPr>
          <w:rFonts w:ascii="Arial" w:hAnsi="Arial" w:cs="Arial"/>
          <w:sz w:val="22"/>
          <w:szCs w:val="22"/>
        </w:rPr>
      </w:pPr>
      <w:r w:rsidRPr="00141970">
        <w:rPr>
          <w:rFonts w:ascii="Arial" w:hAnsi="Arial" w:cs="Arial"/>
          <w:sz w:val="22"/>
          <w:szCs w:val="22"/>
        </w:rPr>
        <w:t>The consultant should ensure that the capacity-building programmes are delivered by experts in the field who have experience in the establishment and management of Awqaf institutions. The programmes should also be evaluated regularly to ensure their effectiveness and to identify areas for improvement.</w:t>
      </w:r>
    </w:p>
    <w:p w14:paraId="6011FBC5" w14:textId="19FFD5EA" w:rsidR="00141970" w:rsidRPr="00141970" w:rsidRDefault="00141970" w:rsidP="00141970">
      <w:pPr>
        <w:spacing w:before="240" w:line="276" w:lineRule="auto"/>
        <w:rPr>
          <w:rFonts w:ascii="Arial" w:hAnsi="Arial" w:cs="Arial"/>
          <w:sz w:val="22"/>
          <w:szCs w:val="22"/>
        </w:rPr>
      </w:pPr>
      <w:r w:rsidRPr="00141970">
        <w:rPr>
          <w:rFonts w:ascii="Arial" w:hAnsi="Arial" w:cs="Arial"/>
          <w:sz w:val="22"/>
          <w:szCs w:val="22"/>
        </w:rPr>
        <w:t xml:space="preserve">The </w:t>
      </w:r>
      <w:r w:rsidRPr="005D344F">
        <w:rPr>
          <w:rFonts w:ascii="Arial" w:hAnsi="Arial" w:cs="Arial"/>
          <w:b/>
          <w:bCs/>
          <w:sz w:val="22"/>
          <w:szCs w:val="22"/>
        </w:rPr>
        <w:t>Task 3</w:t>
      </w:r>
      <w:r w:rsidRPr="005D344F">
        <w:rPr>
          <w:rFonts w:ascii="Arial" w:hAnsi="Arial" w:cs="Arial"/>
          <w:sz w:val="22"/>
          <w:szCs w:val="22"/>
        </w:rPr>
        <w:t xml:space="preserve"> </w:t>
      </w:r>
      <w:r w:rsidRPr="00141970">
        <w:rPr>
          <w:rFonts w:ascii="Arial" w:hAnsi="Arial" w:cs="Arial"/>
          <w:sz w:val="22"/>
          <w:szCs w:val="22"/>
        </w:rPr>
        <w:t>should aim to:</w:t>
      </w:r>
    </w:p>
    <w:p w14:paraId="2CF48E7B" w14:textId="77777777" w:rsidR="00141970" w:rsidRPr="00141970" w:rsidRDefault="00141970" w:rsidP="00141970">
      <w:pPr>
        <w:numPr>
          <w:ilvl w:val="0"/>
          <w:numId w:val="27"/>
        </w:numPr>
        <w:spacing w:before="240" w:line="276" w:lineRule="auto"/>
        <w:rPr>
          <w:rFonts w:ascii="Arial" w:hAnsi="Arial" w:cs="Arial"/>
          <w:sz w:val="22"/>
          <w:szCs w:val="22"/>
        </w:rPr>
      </w:pPr>
      <w:r w:rsidRPr="00141970">
        <w:rPr>
          <w:rFonts w:ascii="Arial" w:hAnsi="Arial" w:cs="Arial"/>
          <w:sz w:val="22"/>
          <w:szCs w:val="22"/>
        </w:rPr>
        <w:t>Increase public understanding of Awqaf and their potential role in addressing social, economic, and religious needs in Uzbekistan.</w:t>
      </w:r>
    </w:p>
    <w:p w14:paraId="3D0ADD53" w14:textId="77777777" w:rsidR="00141970" w:rsidRPr="00141970" w:rsidRDefault="00141970" w:rsidP="00141970">
      <w:pPr>
        <w:numPr>
          <w:ilvl w:val="0"/>
          <w:numId w:val="27"/>
        </w:numPr>
        <w:spacing w:before="240" w:line="276" w:lineRule="auto"/>
        <w:rPr>
          <w:rFonts w:ascii="Arial" w:hAnsi="Arial" w:cs="Arial"/>
          <w:sz w:val="22"/>
          <w:szCs w:val="22"/>
        </w:rPr>
      </w:pPr>
      <w:r w:rsidRPr="00141970">
        <w:rPr>
          <w:rFonts w:ascii="Arial" w:hAnsi="Arial" w:cs="Arial"/>
          <w:sz w:val="22"/>
          <w:szCs w:val="22"/>
        </w:rPr>
        <w:t>Build public confidence and trust in the Awqaf sector as a viable, sustainable, and effective means of addressing these needs.</w:t>
      </w:r>
    </w:p>
    <w:p w14:paraId="64D98E6B" w14:textId="77777777" w:rsidR="00141970" w:rsidRPr="00141970" w:rsidRDefault="00141970" w:rsidP="00141970">
      <w:pPr>
        <w:numPr>
          <w:ilvl w:val="0"/>
          <w:numId w:val="27"/>
        </w:numPr>
        <w:spacing w:before="240" w:line="276" w:lineRule="auto"/>
        <w:rPr>
          <w:rFonts w:ascii="Arial" w:hAnsi="Arial" w:cs="Arial"/>
          <w:sz w:val="22"/>
          <w:szCs w:val="22"/>
        </w:rPr>
      </w:pPr>
      <w:r w:rsidRPr="00141970">
        <w:rPr>
          <w:rFonts w:ascii="Arial" w:hAnsi="Arial" w:cs="Arial"/>
          <w:sz w:val="22"/>
          <w:szCs w:val="22"/>
        </w:rPr>
        <w:t>Promote public awareness of the legal and regulatory framework for Awqaf in Uzbekistan and the role of stakeholders in ensuring compliance.</w:t>
      </w:r>
    </w:p>
    <w:p w14:paraId="093993D6" w14:textId="77777777" w:rsidR="00141970" w:rsidRPr="00141970" w:rsidRDefault="00141970" w:rsidP="00141970">
      <w:pPr>
        <w:numPr>
          <w:ilvl w:val="0"/>
          <w:numId w:val="27"/>
        </w:numPr>
        <w:spacing w:before="240" w:line="276" w:lineRule="auto"/>
        <w:rPr>
          <w:rFonts w:ascii="Arial" w:hAnsi="Arial" w:cs="Arial"/>
          <w:sz w:val="22"/>
          <w:szCs w:val="22"/>
        </w:rPr>
      </w:pPr>
      <w:r w:rsidRPr="00141970">
        <w:rPr>
          <w:rFonts w:ascii="Arial" w:hAnsi="Arial" w:cs="Arial"/>
          <w:sz w:val="22"/>
          <w:szCs w:val="22"/>
        </w:rPr>
        <w:t>Encourage public participation and support for the establishment and management of Awqaf institutions.</w:t>
      </w:r>
    </w:p>
    <w:p w14:paraId="00E940FA" w14:textId="77777777" w:rsidR="00141970" w:rsidRPr="00141970" w:rsidRDefault="00141970" w:rsidP="00141970">
      <w:pPr>
        <w:spacing w:before="240" w:line="276" w:lineRule="auto"/>
        <w:rPr>
          <w:rFonts w:ascii="Arial" w:hAnsi="Arial" w:cs="Arial"/>
          <w:sz w:val="22"/>
          <w:szCs w:val="22"/>
        </w:rPr>
      </w:pPr>
      <w:r w:rsidRPr="00141970">
        <w:rPr>
          <w:rFonts w:ascii="Arial" w:hAnsi="Arial" w:cs="Arial"/>
          <w:sz w:val="22"/>
          <w:szCs w:val="22"/>
        </w:rPr>
        <w:t>The consultant should consider the following when developing and implementing the awareness creation programmes:</w:t>
      </w:r>
    </w:p>
    <w:p w14:paraId="0F6E6E32" w14:textId="77777777" w:rsidR="00141970" w:rsidRPr="00141970" w:rsidRDefault="00141970" w:rsidP="00141970">
      <w:pPr>
        <w:numPr>
          <w:ilvl w:val="0"/>
          <w:numId w:val="28"/>
        </w:numPr>
        <w:spacing w:before="240" w:line="276" w:lineRule="auto"/>
        <w:rPr>
          <w:rFonts w:ascii="Arial" w:hAnsi="Arial" w:cs="Arial"/>
          <w:sz w:val="22"/>
          <w:szCs w:val="22"/>
        </w:rPr>
      </w:pPr>
      <w:r w:rsidRPr="00141970">
        <w:rPr>
          <w:rFonts w:ascii="Arial" w:hAnsi="Arial" w:cs="Arial"/>
          <w:sz w:val="22"/>
          <w:szCs w:val="22"/>
        </w:rPr>
        <w:t>The target audience and their level of knowledge and understanding of Awqaf.</w:t>
      </w:r>
    </w:p>
    <w:p w14:paraId="1A86308F" w14:textId="77777777" w:rsidR="00141970" w:rsidRPr="00141970" w:rsidRDefault="00141970" w:rsidP="00141970">
      <w:pPr>
        <w:numPr>
          <w:ilvl w:val="0"/>
          <w:numId w:val="28"/>
        </w:numPr>
        <w:spacing w:before="240" w:line="276" w:lineRule="auto"/>
        <w:rPr>
          <w:rFonts w:ascii="Arial" w:hAnsi="Arial" w:cs="Arial"/>
          <w:sz w:val="22"/>
          <w:szCs w:val="22"/>
        </w:rPr>
      </w:pPr>
      <w:r w:rsidRPr="00141970">
        <w:rPr>
          <w:rFonts w:ascii="Arial" w:hAnsi="Arial" w:cs="Arial"/>
          <w:sz w:val="22"/>
          <w:szCs w:val="22"/>
        </w:rPr>
        <w:t>The cultural and social factors that may influence the public's perception and acceptance of Awqaf institutions.</w:t>
      </w:r>
    </w:p>
    <w:p w14:paraId="2901AC5D" w14:textId="77777777" w:rsidR="00141970" w:rsidRPr="00141970" w:rsidRDefault="00141970" w:rsidP="00141970">
      <w:pPr>
        <w:numPr>
          <w:ilvl w:val="0"/>
          <w:numId w:val="28"/>
        </w:numPr>
        <w:spacing w:before="240" w:line="276" w:lineRule="auto"/>
        <w:rPr>
          <w:rFonts w:ascii="Arial" w:hAnsi="Arial" w:cs="Arial"/>
          <w:sz w:val="22"/>
          <w:szCs w:val="22"/>
        </w:rPr>
      </w:pPr>
      <w:r w:rsidRPr="00141970">
        <w:rPr>
          <w:rFonts w:ascii="Arial" w:hAnsi="Arial" w:cs="Arial"/>
          <w:sz w:val="22"/>
          <w:szCs w:val="22"/>
        </w:rPr>
        <w:t>The most effective communication channels for reaching the target audience, such as social media, print media, radio, or television.</w:t>
      </w:r>
    </w:p>
    <w:p w14:paraId="403E35C7" w14:textId="77777777" w:rsidR="00141970" w:rsidRPr="00141970" w:rsidRDefault="00141970" w:rsidP="00141970">
      <w:pPr>
        <w:numPr>
          <w:ilvl w:val="0"/>
          <w:numId w:val="28"/>
        </w:numPr>
        <w:spacing w:before="240" w:line="276" w:lineRule="auto"/>
        <w:rPr>
          <w:rFonts w:ascii="Arial" w:hAnsi="Arial" w:cs="Arial"/>
          <w:sz w:val="22"/>
          <w:szCs w:val="22"/>
        </w:rPr>
      </w:pPr>
      <w:r w:rsidRPr="00141970">
        <w:rPr>
          <w:rFonts w:ascii="Arial" w:hAnsi="Arial" w:cs="Arial"/>
          <w:sz w:val="22"/>
          <w:szCs w:val="22"/>
        </w:rPr>
        <w:t>The need for engaging and persuasive messaging that highlights the benefits and positive impact of Awqaf on society.</w:t>
      </w:r>
    </w:p>
    <w:p w14:paraId="2DA1E827" w14:textId="25A600AD" w:rsidR="00141970" w:rsidRPr="00141970" w:rsidRDefault="00141970" w:rsidP="00141970">
      <w:pPr>
        <w:numPr>
          <w:ilvl w:val="0"/>
          <w:numId w:val="28"/>
        </w:numPr>
        <w:spacing w:before="240" w:line="276" w:lineRule="auto"/>
        <w:rPr>
          <w:rFonts w:ascii="Arial" w:hAnsi="Arial" w:cs="Arial"/>
          <w:sz w:val="22"/>
          <w:szCs w:val="22"/>
        </w:rPr>
      </w:pPr>
      <w:r w:rsidRPr="00141970">
        <w:rPr>
          <w:rFonts w:ascii="Arial" w:hAnsi="Arial" w:cs="Arial"/>
          <w:sz w:val="22"/>
          <w:szCs w:val="22"/>
        </w:rPr>
        <w:lastRenderedPageBreak/>
        <w:t>The use of real-life examples and success stories to illustrate the practical application of Awqaf principles and concepts</w:t>
      </w:r>
      <w:r w:rsidR="00B845F7">
        <w:rPr>
          <w:rFonts w:ascii="Arial" w:hAnsi="Arial" w:cs="Arial"/>
          <w:sz w:val="22"/>
          <w:szCs w:val="22"/>
        </w:rPr>
        <w:t xml:space="preserve"> and propose familiarization visits to selected country</w:t>
      </w:r>
      <w:r w:rsidRPr="00141970">
        <w:rPr>
          <w:rFonts w:ascii="Arial" w:hAnsi="Arial" w:cs="Arial"/>
          <w:sz w:val="22"/>
          <w:szCs w:val="22"/>
        </w:rPr>
        <w:t>.</w:t>
      </w:r>
    </w:p>
    <w:p w14:paraId="3753DBA9" w14:textId="77777777" w:rsidR="00141970" w:rsidRPr="00141970" w:rsidRDefault="00141970" w:rsidP="00141970">
      <w:pPr>
        <w:spacing w:before="240" w:line="276" w:lineRule="auto"/>
        <w:rPr>
          <w:rFonts w:ascii="Arial" w:hAnsi="Arial" w:cs="Arial"/>
          <w:sz w:val="22"/>
          <w:szCs w:val="22"/>
        </w:rPr>
      </w:pPr>
      <w:r w:rsidRPr="00141970">
        <w:rPr>
          <w:rFonts w:ascii="Arial" w:hAnsi="Arial" w:cs="Arial"/>
          <w:sz w:val="22"/>
          <w:szCs w:val="22"/>
        </w:rPr>
        <w:t>The consultant should develop a comprehensive communication plan that outlines the messaging, communication channels, and timeline for implementing the awareness creation programmes. The plan should include a mix of targeted and broad-based messaging, as well as strategies for engaging with key opinion leaders and influencers.</w:t>
      </w:r>
    </w:p>
    <w:p w14:paraId="271EC4C7" w14:textId="77777777" w:rsidR="00141970" w:rsidRPr="00141970" w:rsidRDefault="00141970" w:rsidP="00141970">
      <w:pPr>
        <w:spacing w:before="240" w:line="276" w:lineRule="auto"/>
        <w:rPr>
          <w:rFonts w:ascii="Arial" w:hAnsi="Arial" w:cs="Arial"/>
          <w:sz w:val="22"/>
          <w:szCs w:val="22"/>
        </w:rPr>
      </w:pPr>
      <w:r w:rsidRPr="00141970">
        <w:rPr>
          <w:rFonts w:ascii="Arial" w:hAnsi="Arial" w:cs="Arial"/>
          <w:sz w:val="22"/>
          <w:szCs w:val="22"/>
        </w:rPr>
        <w:t>The consultant should also consider leveraging existing networks and partnerships to amplify the reach and impact of the awareness creation programmes. This could include partnering with religious organizations, community-based organizations, and other stakeholders to help disseminate information and engage with the public.</w:t>
      </w:r>
    </w:p>
    <w:p w14:paraId="626FCCB9" w14:textId="77777777" w:rsidR="00141970" w:rsidRPr="00141970" w:rsidRDefault="00141970" w:rsidP="00141970">
      <w:pPr>
        <w:spacing w:before="240" w:line="276" w:lineRule="auto"/>
        <w:rPr>
          <w:rFonts w:ascii="Arial" w:hAnsi="Arial" w:cs="Arial"/>
          <w:sz w:val="22"/>
          <w:szCs w:val="22"/>
        </w:rPr>
      </w:pPr>
      <w:r w:rsidRPr="00141970">
        <w:rPr>
          <w:rFonts w:ascii="Arial" w:hAnsi="Arial" w:cs="Arial"/>
          <w:sz w:val="22"/>
          <w:szCs w:val="22"/>
        </w:rPr>
        <w:t>The success of the awareness creation programmes should be measured through regular monitoring and evaluation of the reach, impact, and effectiveness of the messaging. The consultant should use this feedback to adjust the communication plan as needed and ensure that the programmes continue to resonate with the public and effectively promote understanding, confidence, and trust in the Awqaf sector.</w:t>
      </w:r>
    </w:p>
    <w:p w14:paraId="05976834" w14:textId="3E0B30AF" w:rsidR="00141970" w:rsidRPr="00141970" w:rsidRDefault="00141970" w:rsidP="00141970">
      <w:pPr>
        <w:spacing w:before="240" w:line="276" w:lineRule="auto"/>
        <w:rPr>
          <w:rFonts w:ascii="Arial" w:hAnsi="Arial" w:cs="Arial"/>
          <w:sz w:val="22"/>
          <w:szCs w:val="22"/>
        </w:rPr>
      </w:pPr>
      <w:r w:rsidRPr="00141970">
        <w:rPr>
          <w:rFonts w:ascii="Arial" w:hAnsi="Arial" w:cs="Arial"/>
          <w:sz w:val="22"/>
          <w:szCs w:val="22"/>
        </w:rPr>
        <w:t xml:space="preserve">The </w:t>
      </w:r>
      <w:r w:rsidR="00442B96" w:rsidRPr="005D344F">
        <w:rPr>
          <w:rFonts w:ascii="Arial" w:hAnsi="Arial" w:cs="Arial"/>
          <w:b/>
          <w:bCs/>
          <w:sz w:val="22"/>
          <w:szCs w:val="22"/>
        </w:rPr>
        <w:t>Task 4</w:t>
      </w:r>
      <w:r w:rsidR="00442B96" w:rsidRPr="005D344F">
        <w:rPr>
          <w:rFonts w:ascii="Arial" w:hAnsi="Arial" w:cs="Arial"/>
          <w:sz w:val="22"/>
          <w:szCs w:val="22"/>
        </w:rPr>
        <w:t xml:space="preserve"> should include </w:t>
      </w:r>
      <w:r w:rsidRPr="00141970">
        <w:rPr>
          <w:rFonts w:ascii="Arial" w:hAnsi="Arial" w:cs="Arial"/>
          <w:sz w:val="22"/>
          <w:szCs w:val="22"/>
        </w:rPr>
        <w:t>following steps that the consultant should consider when developing framework:</w:t>
      </w:r>
    </w:p>
    <w:p w14:paraId="1C854086" w14:textId="77777777" w:rsidR="00141970" w:rsidRPr="00141970" w:rsidRDefault="00141970" w:rsidP="00141970">
      <w:pPr>
        <w:numPr>
          <w:ilvl w:val="0"/>
          <w:numId w:val="29"/>
        </w:numPr>
        <w:spacing w:before="240" w:line="276" w:lineRule="auto"/>
        <w:rPr>
          <w:rFonts w:ascii="Arial" w:hAnsi="Arial" w:cs="Arial"/>
          <w:sz w:val="22"/>
          <w:szCs w:val="22"/>
        </w:rPr>
      </w:pPr>
      <w:r w:rsidRPr="00141970">
        <w:rPr>
          <w:rFonts w:ascii="Arial" w:hAnsi="Arial" w:cs="Arial"/>
          <w:sz w:val="22"/>
          <w:szCs w:val="22"/>
        </w:rPr>
        <w:t>Review and analyze the existing legal and regulatory framework for Awqaf in Uzbekistan, including any relevant legislation, regulations, and guidelines, to identify any gaps or inconsistencies in the current system.</w:t>
      </w:r>
    </w:p>
    <w:p w14:paraId="3F091FE8" w14:textId="77777777" w:rsidR="00141970" w:rsidRPr="00141970" w:rsidRDefault="00141970" w:rsidP="00141970">
      <w:pPr>
        <w:numPr>
          <w:ilvl w:val="0"/>
          <w:numId w:val="29"/>
        </w:numPr>
        <w:spacing w:before="240" w:line="276" w:lineRule="auto"/>
        <w:rPr>
          <w:rFonts w:ascii="Arial" w:hAnsi="Arial" w:cs="Arial"/>
          <w:sz w:val="22"/>
          <w:szCs w:val="22"/>
        </w:rPr>
      </w:pPr>
      <w:r w:rsidRPr="00141970">
        <w:rPr>
          <w:rFonts w:ascii="Arial" w:hAnsi="Arial" w:cs="Arial"/>
          <w:sz w:val="22"/>
          <w:szCs w:val="22"/>
        </w:rPr>
        <w:t>Develop a comprehensive set of supervisory guidelines for Awqaf institutions that outline the minimum standards and requirements for compliance with applicable laws and regulations.</w:t>
      </w:r>
    </w:p>
    <w:p w14:paraId="5C19EF35" w14:textId="77777777" w:rsidR="00141970" w:rsidRPr="00141970" w:rsidRDefault="00141970" w:rsidP="00141970">
      <w:pPr>
        <w:numPr>
          <w:ilvl w:val="0"/>
          <w:numId w:val="29"/>
        </w:numPr>
        <w:spacing w:before="240" w:line="276" w:lineRule="auto"/>
        <w:rPr>
          <w:rFonts w:ascii="Arial" w:hAnsi="Arial" w:cs="Arial"/>
          <w:sz w:val="22"/>
          <w:szCs w:val="22"/>
        </w:rPr>
      </w:pPr>
      <w:r w:rsidRPr="00141970">
        <w:rPr>
          <w:rFonts w:ascii="Arial" w:hAnsi="Arial" w:cs="Arial"/>
          <w:sz w:val="22"/>
          <w:szCs w:val="22"/>
        </w:rPr>
        <w:t>Identify the relevant government agencies responsible for enforcing the supervisory framework and establish clear lines of communication and coordination between these agencies and the Awqaf institutions.</w:t>
      </w:r>
    </w:p>
    <w:p w14:paraId="69FA9B9E" w14:textId="77777777" w:rsidR="00141970" w:rsidRPr="00141970" w:rsidRDefault="00141970" w:rsidP="00141970">
      <w:pPr>
        <w:numPr>
          <w:ilvl w:val="0"/>
          <w:numId w:val="29"/>
        </w:numPr>
        <w:spacing w:before="240" w:line="276" w:lineRule="auto"/>
        <w:rPr>
          <w:rFonts w:ascii="Arial" w:hAnsi="Arial" w:cs="Arial"/>
          <w:sz w:val="22"/>
          <w:szCs w:val="22"/>
        </w:rPr>
      </w:pPr>
      <w:r w:rsidRPr="00141970">
        <w:rPr>
          <w:rFonts w:ascii="Arial" w:hAnsi="Arial" w:cs="Arial"/>
          <w:sz w:val="22"/>
          <w:szCs w:val="22"/>
        </w:rPr>
        <w:t>Develop a risk-based approach to supervisory oversight, which prioritizes the monitoring and evaluation of high-risk Awqaf institutions and activities.</w:t>
      </w:r>
    </w:p>
    <w:p w14:paraId="4E30F4A8" w14:textId="77777777" w:rsidR="00141970" w:rsidRPr="00141970" w:rsidRDefault="00141970" w:rsidP="00141970">
      <w:pPr>
        <w:numPr>
          <w:ilvl w:val="0"/>
          <w:numId w:val="29"/>
        </w:numPr>
        <w:spacing w:before="240" w:line="276" w:lineRule="auto"/>
        <w:rPr>
          <w:rFonts w:ascii="Arial" w:hAnsi="Arial" w:cs="Arial"/>
          <w:sz w:val="22"/>
          <w:szCs w:val="22"/>
        </w:rPr>
      </w:pPr>
      <w:r w:rsidRPr="00141970">
        <w:rPr>
          <w:rFonts w:ascii="Arial" w:hAnsi="Arial" w:cs="Arial"/>
          <w:sz w:val="22"/>
          <w:szCs w:val="22"/>
        </w:rPr>
        <w:t>Implement a reporting mechanism that requires Awqaf institutions to provide regular and transparent reporting on their activities, including financial and operational performance, to ensure compliance with applicable laws and regulations.</w:t>
      </w:r>
    </w:p>
    <w:p w14:paraId="4726BF53" w14:textId="77777777" w:rsidR="00141970" w:rsidRPr="00141970" w:rsidRDefault="00141970" w:rsidP="00141970">
      <w:pPr>
        <w:numPr>
          <w:ilvl w:val="0"/>
          <w:numId w:val="29"/>
        </w:numPr>
        <w:spacing w:before="240" w:line="276" w:lineRule="auto"/>
        <w:rPr>
          <w:rFonts w:ascii="Arial" w:hAnsi="Arial" w:cs="Arial"/>
          <w:sz w:val="22"/>
          <w:szCs w:val="22"/>
        </w:rPr>
      </w:pPr>
      <w:r w:rsidRPr="00141970">
        <w:rPr>
          <w:rFonts w:ascii="Arial" w:hAnsi="Arial" w:cs="Arial"/>
          <w:sz w:val="22"/>
          <w:szCs w:val="22"/>
        </w:rPr>
        <w:t>Establish an independent oversight body or board that is responsible for monitoring and evaluating the effectiveness of the supervisory framework and ensuring that it remains relevant and up-to-date.</w:t>
      </w:r>
    </w:p>
    <w:p w14:paraId="3486BB61" w14:textId="77777777" w:rsidR="00141970" w:rsidRPr="00141970" w:rsidRDefault="00141970" w:rsidP="00141970">
      <w:pPr>
        <w:numPr>
          <w:ilvl w:val="0"/>
          <w:numId w:val="29"/>
        </w:numPr>
        <w:spacing w:before="240" w:line="276" w:lineRule="auto"/>
        <w:rPr>
          <w:rFonts w:ascii="Arial" w:hAnsi="Arial" w:cs="Arial"/>
          <w:sz w:val="22"/>
          <w:szCs w:val="22"/>
        </w:rPr>
      </w:pPr>
      <w:r w:rsidRPr="00141970">
        <w:rPr>
          <w:rFonts w:ascii="Arial" w:hAnsi="Arial" w:cs="Arial"/>
          <w:sz w:val="22"/>
          <w:szCs w:val="22"/>
        </w:rPr>
        <w:t>Provide training and support to the relevant government agencies, Awqaf institutions, and other stakeholders to ensure effective implementation of the supervisory framework.</w:t>
      </w:r>
    </w:p>
    <w:p w14:paraId="2FCF451E" w14:textId="77777777" w:rsidR="00141970" w:rsidRPr="00141970" w:rsidRDefault="00141970" w:rsidP="00141970">
      <w:pPr>
        <w:spacing w:before="240" w:line="276" w:lineRule="auto"/>
        <w:rPr>
          <w:rFonts w:ascii="Arial" w:hAnsi="Arial" w:cs="Arial"/>
          <w:sz w:val="22"/>
          <w:szCs w:val="22"/>
        </w:rPr>
      </w:pPr>
      <w:r w:rsidRPr="00141970">
        <w:rPr>
          <w:rFonts w:ascii="Arial" w:hAnsi="Arial" w:cs="Arial"/>
          <w:sz w:val="22"/>
          <w:szCs w:val="22"/>
        </w:rPr>
        <w:lastRenderedPageBreak/>
        <w:t>The success of the supervisory framework should be measured through regular monitoring and evaluation of compliance with applicable laws and regulations, as well as the effectiveness of the framework in promoting accountability and transparency within the Awqaf sector. The consultant should use this feedback to make necessary adjustments to the supervisory guidelines and ensure that the framework remains relevant and effective over time.</w:t>
      </w:r>
    </w:p>
    <w:p w14:paraId="7B96F5A5" w14:textId="2F552D9A" w:rsidR="00615AFB" w:rsidRPr="005D344F" w:rsidRDefault="00615AFB" w:rsidP="00442B96">
      <w:pPr>
        <w:keepNext/>
        <w:suppressAutoHyphens/>
        <w:spacing w:before="240"/>
        <w:jc w:val="left"/>
        <w:outlineLvl w:val="2"/>
        <w:rPr>
          <w:rFonts w:ascii="Arial" w:hAnsi="Arial" w:cs="Arial"/>
          <w:b/>
          <w:bCs/>
          <w:sz w:val="22"/>
          <w:szCs w:val="22"/>
        </w:rPr>
      </w:pPr>
      <w:r w:rsidRPr="005D344F">
        <w:rPr>
          <w:rFonts w:ascii="Arial" w:hAnsi="Arial" w:cs="Arial"/>
          <w:b/>
          <w:sz w:val="22"/>
          <w:szCs w:val="22"/>
        </w:rPr>
        <w:t>I</w:t>
      </w:r>
      <w:r w:rsidRPr="005D344F">
        <w:rPr>
          <w:rFonts w:ascii="Arial" w:hAnsi="Arial" w:cs="Arial"/>
          <w:b/>
          <w:bCs/>
          <w:sz w:val="22"/>
          <w:szCs w:val="22"/>
        </w:rPr>
        <w:t>V. OBLIGATIONS OF THE CONSULTANT.</w:t>
      </w:r>
    </w:p>
    <w:p w14:paraId="695AA5DD" w14:textId="77777777" w:rsidR="00615AFB" w:rsidRPr="005D344F" w:rsidRDefault="00615AFB" w:rsidP="0079627F">
      <w:pPr>
        <w:keepNext/>
        <w:suppressAutoHyphens/>
        <w:spacing w:before="240"/>
        <w:ind w:firstLine="709"/>
        <w:outlineLvl w:val="2"/>
        <w:rPr>
          <w:rFonts w:ascii="Arial" w:hAnsi="Arial" w:cs="Arial"/>
          <w:b/>
          <w:bCs/>
          <w:sz w:val="22"/>
          <w:szCs w:val="22"/>
        </w:rPr>
      </w:pPr>
      <w:r w:rsidRPr="005D344F">
        <w:rPr>
          <w:rFonts w:ascii="Arial" w:hAnsi="Arial" w:cs="Arial"/>
          <w:b/>
          <w:bCs/>
          <w:sz w:val="22"/>
          <w:szCs w:val="22"/>
        </w:rPr>
        <w:t xml:space="preserve">Recommended schedule and work method  </w:t>
      </w:r>
    </w:p>
    <w:p w14:paraId="5599F0EA" w14:textId="3AC4EB77" w:rsidR="00615AFB" w:rsidRPr="005D344F" w:rsidRDefault="00615AFB" w:rsidP="0079627F">
      <w:pPr>
        <w:spacing w:before="240"/>
        <w:ind w:firstLine="709"/>
        <w:rPr>
          <w:rFonts w:ascii="Arial" w:hAnsi="Arial" w:cs="Arial"/>
          <w:color w:val="000000"/>
          <w:sz w:val="22"/>
          <w:szCs w:val="22"/>
        </w:rPr>
      </w:pPr>
      <w:r w:rsidRPr="005D344F">
        <w:rPr>
          <w:rFonts w:ascii="Arial" w:hAnsi="Arial" w:cs="Arial"/>
          <w:bCs/>
          <w:sz w:val="22"/>
          <w:szCs w:val="22"/>
          <w:lang w:val="ky-KG"/>
        </w:rPr>
        <w:t>1. </w:t>
      </w:r>
      <w:r w:rsidRPr="005D344F">
        <w:rPr>
          <w:rFonts w:ascii="Arial" w:hAnsi="Arial" w:cs="Arial"/>
          <w:color w:val="212121"/>
          <w:sz w:val="22"/>
          <w:szCs w:val="22"/>
          <w:lang w:val="en"/>
        </w:rPr>
        <w:t xml:space="preserve">During contract negotiations the Consultant should prepare a preliminary work plan for all components of the TOR and submit it for review and approval to the </w:t>
      </w:r>
      <w:r w:rsidR="006271A0" w:rsidRPr="005D344F">
        <w:rPr>
          <w:rFonts w:ascii="Arial" w:hAnsi="Arial" w:cs="Arial"/>
          <w:sz w:val="22"/>
          <w:szCs w:val="22"/>
        </w:rPr>
        <w:t>Committee</w:t>
      </w:r>
      <w:r w:rsidRPr="005D344F">
        <w:rPr>
          <w:rFonts w:ascii="Arial" w:hAnsi="Arial" w:cs="Arial"/>
          <w:color w:val="212121"/>
          <w:sz w:val="22"/>
          <w:szCs w:val="22"/>
          <w:lang w:val="en"/>
        </w:rPr>
        <w:t>. This work plan will be the integral part of the future contract</w:t>
      </w:r>
      <w:r w:rsidRPr="005D344F">
        <w:rPr>
          <w:rFonts w:ascii="Arial" w:hAnsi="Arial" w:cs="Arial"/>
          <w:color w:val="000000"/>
          <w:sz w:val="22"/>
          <w:szCs w:val="22"/>
        </w:rPr>
        <w:t>.</w:t>
      </w:r>
    </w:p>
    <w:p w14:paraId="0DBC34DA" w14:textId="1C0B75ED" w:rsidR="00615AFB" w:rsidRPr="005D344F" w:rsidRDefault="00615AFB" w:rsidP="0079627F">
      <w:pPr>
        <w:spacing w:before="240"/>
        <w:ind w:firstLine="709"/>
        <w:rPr>
          <w:rFonts w:ascii="Arial" w:hAnsi="Arial" w:cs="Arial"/>
          <w:color w:val="000000"/>
          <w:sz w:val="22"/>
          <w:szCs w:val="22"/>
        </w:rPr>
      </w:pPr>
      <w:r w:rsidRPr="005D344F">
        <w:rPr>
          <w:rFonts w:ascii="Arial" w:hAnsi="Arial" w:cs="Arial"/>
          <w:color w:val="000000"/>
          <w:sz w:val="22"/>
          <w:szCs w:val="22"/>
          <w:lang w:val="ky-KG"/>
        </w:rPr>
        <w:t>2. </w:t>
      </w:r>
      <w:r w:rsidRPr="005D344F" w:rsidDel="00866191">
        <w:rPr>
          <w:rFonts w:ascii="Arial" w:hAnsi="Arial" w:cs="Arial"/>
          <w:color w:val="000000"/>
          <w:sz w:val="22"/>
          <w:szCs w:val="22"/>
        </w:rPr>
        <w:t xml:space="preserve"> </w:t>
      </w:r>
      <w:r w:rsidRPr="005D344F">
        <w:rPr>
          <w:rFonts w:ascii="Arial" w:hAnsi="Arial" w:cs="Arial"/>
          <w:color w:val="212121"/>
          <w:sz w:val="22"/>
          <w:szCs w:val="22"/>
          <w:lang w:val="en"/>
        </w:rPr>
        <w:t xml:space="preserve">The Consultant’s work plan should include the number of visits to the project site to </w:t>
      </w:r>
      <w:r w:rsidR="00FA1E76">
        <w:rPr>
          <w:rFonts w:ascii="Arial" w:hAnsi="Arial" w:cs="Arial"/>
          <w:color w:val="212121"/>
          <w:sz w:val="22"/>
          <w:szCs w:val="22"/>
        </w:rPr>
        <w:t xml:space="preserve">the </w:t>
      </w:r>
      <w:r w:rsidR="006271A0" w:rsidRPr="005D344F">
        <w:rPr>
          <w:rFonts w:ascii="Arial" w:hAnsi="Arial" w:cs="Arial"/>
          <w:sz w:val="22"/>
          <w:szCs w:val="22"/>
        </w:rPr>
        <w:t>Committee</w:t>
      </w:r>
      <w:r w:rsidRPr="005D344F">
        <w:rPr>
          <w:rFonts w:ascii="Arial" w:hAnsi="Arial" w:cs="Arial"/>
          <w:color w:val="212121"/>
          <w:sz w:val="22"/>
          <w:szCs w:val="22"/>
          <w:lang w:val="en"/>
        </w:rPr>
        <w:t>, and at the end of each visit a report should be submitted to the leader of the project in writing</w:t>
      </w:r>
      <w:r w:rsidRPr="005D344F">
        <w:rPr>
          <w:rFonts w:ascii="Arial" w:hAnsi="Arial" w:cs="Arial"/>
          <w:color w:val="000000"/>
          <w:sz w:val="22"/>
          <w:szCs w:val="22"/>
        </w:rPr>
        <w:t>.</w:t>
      </w:r>
    </w:p>
    <w:p w14:paraId="08443BA2" w14:textId="1D7BCCA2" w:rsidR="00615AFB" w:rsidRPr="005D344F" w:rsidRDefault="00615AFB" w:rsidP="0079627F">
      <w:pPr>
        <w:spacing w:before="240"/>
        <w:ind w:firstLine="709"/>
        <w:rPr>
          <w:rFonts w:ascii="Arial" w:hAnsi="Arial" w:cs="Arial"/>
          <w:color w:val="000000"/>
          <w:spacing w:val="-2"/>
          <w:sz w:val="22"/>
          <w:szCs w:val="22"/>
        </w:rPr>
      </w:pPr>
      <w:r w:rsidRPr="005D344F">
        <w:rPr>
          <w:rFonts w:ascii="Arial" w:hAnsi="Arial" w:cs="Arial"/>
          <w:color w:val="000000"/>
          <w:spacing w:val="-2"/>
          <w:sz w:val="22"/>
          <w:szCs w:val="22"/>
          <w:lang w:val="ky-KG"/>
        </w:rPr>
        <w:t>3. </w:t>
      </w:r>
      <w:r w:rsidRPr="005D344F">
        <w:rPr>
          <w:rFonts w:ascii="Arial" w:hAnsi="Arial" w:cs="Arial"/>
          <w:color w:val="212121"/>
          <w:sz w:val="22"/>
          <w:szCs w:val="22"/>
          <w:lang w:val="en"/>
        </w:rPr>
        <w:t xml:space="preserve">The approximate duration of the Consultant’s work will be </w:t>
      </w:r>
      <w:r w:rsidR="00B845F7">
        <w:rPr>
          <w:rFonts w:ascii="Arial" w:hAnsi="Arial" w:cs="Arial"/>
          <w:color w:val="212121"/>
          <w:sz w:val="22"/>
          <w:szCs w:val="22"/>
          <w:lang w:val="en"/>
        </w:rPr>
        <w:t>6</w:t>
      </w:r>
      <w:r w:rsidR="00462C52" w:rsidRPr="005D344F">
        <w:rPr>
          <w:rFonts w:ascii="Arial" w:hAnsi="Arial" w:cs="Arial"/>
          <w:color w:val="212121"/>
          <w:sz w:val="22"/>
          <w:szCs w:val="22"/>
          <w:lang w:val="en"/>
        </w:rPr>
        <w:t xml:space="preserve"> </w:t>
      </w:r>
      <w:r w:rsidRPr="005D344F">
        <w:rPr>
          <w:rFonts w:ascii="Arial" w:hAnsi="Arial" w:cs="Arial"/>
          <w:color w:val="212121"/>
          <w:sz w:val="22"/>
          <w:szCs w:val="22"/>
          <w:lang w:val="en"/>
        </w:rPr>
        <w:t>months</w:t>
      </w:r>
      <w:r w:rsidRPr="005D344F">
        <w:rPr>
          <w:rFonts w:ascii="Arial" w:hAnsi="Arial" w:cs="Arial"/>
          <w:color w:val="212121"/>
          <w:sz w:val="22"/>
          <w:szCs w:val="22"/>
        </w:rPr>
        <w:t xml:space="preserve"> (depends on each component completion from Uzbek side as well)</w:t>
      </w:r>
      <w:r w:rsidRPr="005D344F">
        <w:rPr>
          <w:rFonts w:ascii="Arial" w:hAnsi="Arial" w:cs="Arial"/>
          <w:color w:val="212121"/>
          <w:sz w:val="22"/>
          <w:szCs w:val="22"/>
          <w:lang w:val="en"/>
        </w:rPr>
        <w:t xml:space="preserve">. At the same time the first visit to the project site should be made </w:t>
      </w:r>
      <w:r w:rsidR="00B845F7">
        <w:rPr>
          <w:rFonts w:ascii="Arial" w:hAnsi="Arial" w:cs="Arial"/>
          <w:color w:val="212121"/>
          <w:sz w:val="22"/>
          <w:szCs w:val="22"/>
          <w:lang w:val="en"/>
        </w:rPr>
        <w:t>before</w:t>
      </w:r>
      <w:r w:rsidRPr="005D344F">
        <w:rPr>
          <w:rFonts w:ascii="Arial" w:hAnsi="Arial" w:cs="Arial"/>
          <w:color w:val="212121"/>
          <w:sz w:val="22"/>
          <w:szCs w:val="22"/>
          <w:lang w:val="en"/>
        </w:rPr>
        <w:t xml:space="preserve"> submission of the overview report (analysis of the legal and regulatory framework)</w:t>
      </w:r>
      <w:r w:rsidRPr="005D344F">
        <w:rPr>
          <w:rFonts w:ascii="Arial" w:hAnsi="Arial" w:cs="Arial"/>
          <w:color w:val="000000"/>
          <w:spacing w:val="-2"/>
          <w:sz w:val="22"/>
          <w:szCs w:val="22"/>
        </w:rPr>
        <w:t>.</w:t>
      </w:r>
    </w:p>
    <w:p w14:paraId="3CB05E50" w14:textId="77777777" w:rsidR="00615AFB" w:rsidRPr="005D344F" w:rsidRDefault="00615AFB" w:rsidP="0079627F">
      <w:pPr>
        <w:spacing w:before="240"/>
        <w:ind w:firstLine="709"/>
        <w:rPr>
          <w:rFonts w:ascii="Arial" w:hAnsi="Arial" w:cs="Arial"/>
          <w:color w:val="000000"/>
          <w:sz w:val="22"/>
          <w:szCs w:val="22"/>
        </w:rPr>
      </w:pPr>
      <w:r w:rsidRPr="005D344F">
        <w:rPr>
          <w:rFonts w:ascii="Arial" w:hAnsi="Arial" w:cs="Arial"/>
          <w:color w:val="000000"/>
          <w:sz w:val="22"/>
          <w:szCs w:val="22"/>
          <w:lang w:val="ky-KG"/>
        </w:rPr>
        <w:t>4. </w:t>
      </w:r>
      <w:r w:rsidRPr="005D344F">
        <w:rPr>
          <w:rFonts w:ascii="Arial" w:hAnsi="Arial" w:cs="Arial"/>
          <w:color w:val="212121"/>
          <w:sz w:val="22"/>
          <w:szCs w:val="22"/>
          <w:lang w:val="en"/>
        </w:rPr>
        <w:t xml:space="preserve">If there are travel restrictions or prohibitions on international flights, the </w:t>
      </w:r>
      <w:r w:rsidRPr="005D344F">
        <w:rPr>
          <w:rFonts w:ascii="Arial" w:hAnsi="Arial" w:cs="Arial"/>
          <w:color w:val="212121"/>
          <w:sz w:val="22"/>
          <w:szCs w:val="22"/>
        </w:rPr>
        <w:t xml:space="preserve">required </w:t>
      </w:r>
      <w:r w:rsidRPr="005D344F">
        <w:rPr>
          <w:rFonts w:ascii="Arial" w:hAnsi="Arial" w:cs="Arial"/>
          <w:color w:val="212121"/>
          <w:sz w:val="22"/>
          <w:szCs w:val="22"/>
          <w:lang w:val="en"/>
        </w:rPr>
        <w:t>visits (first, final, etc.) by the Consultant can be fulfilled through virtual meetings/consultations. In such a situation, the Consultant will need to provide the relevent information regarding the prevailing COVID-19 restrictions.</w:t>
      </w:r>
    </w:p>
    <w:p w14:paraId="551F0033" w14:textId="46DAB3F6" w:rsidR="00615AFB" w:rsidRPr="005D344F" w:rsidRDefault="00615AFB" w:rsidP="0079627F">
      <w:pPr>
        <w:spacing w:before="240"/>
        <w:ind w:firstLine="709"/>
        <w:rPr>
          <w:rFonts w:ascii="Arial" w:hAnsi="Arial" w:cs="Arial"/>
          <w:color w:val="000000"/>
          <w:sz w:val="22"/>
          <w:szCs w:val="22"/>
        </w:rPr>
      </w:pPr>
      <w:r w:rsidRPr="005D344F">
        <w:rPr>
          <w:rFonts w:ascii="Arial" w:hAnsi="Arial" w:cs="Arial"/>
          <w:color w:val="000000"/>
          <w:sz w:val="22"/>
          <w:szCs w:val="22"/>
          <w:lang w:val="ky-KG"/>
        </w:rPr>
        <w:t>5. </w:t>
      </w:r>
      <w:r w:rsidRPr="005D344F">
        <w:rPr>
          <w:rFonts w:ascii="Arial" w:hAnsi="Arial" w:cs="Arial"/>
          <w:color w:val="212121"/>
          <w:sz w:val="22"/>
          <w:szCs w:val="22"/>
          <w:lang w:val="en"/>
        </w:rPr>
        <w:t xml:space="preserve">The Consultant should provide an address, telephone (mobile and stationary) number, fax and e-mail to the </w:t>
      </w:r>
      <w:r w:rsidR="006271A0" w:rsidRPr="005D344F">
        <w:rPr>
          <w:rFonts w:ascii="Arial" w:hAnsi="Arial" w:cs="Arial"/>
          <w:sz w:val="22"/>
          <w:szCs w:val="22"/>
        </w:rPr>
        <w:t xml:space="preserve">Committee </w:t>
      </w:r>
      <w:r w:rsidRPr="005D344F">
        <w:rPr>
          <w:rFonts w:ascii="Arial" w:hAnsi="Arial" w:cs="Arial"/>
          <w:color w:val="212121"/>
          <w:sz w:val="22"/>
          <w:szCs w:val="22"/>
          <w:lang w:val="en"/>
        </w:rPr>
        <w:t xml:space="preserve">for prompt resolution of emerging issues. </w:t>
      </w:r>
      <w:r w:rsidRPr="005D344F">
        <w:rPr>
          <w:rFonts w:ascii="Arial" w:hAnsi="Arial" w:cs="Arial"/>
          <w:color w:val="212121"/>
          <w:sz w:val="22"/>
          <w:szCs w:val="22"/>
        </w:rPr>
        <w:t>During the work on th</w:t>
      </w:r>
      <w:r w:rsidRPr="005D344F">
        <w:rPr>
          <w:rFonts w:ascii="Arial" w:hAnsi="Arial" w:cs="Arial"/>
          <w:color w:val="212121"/>
          <w:sz w:val="22"/>
          <w:szCs w:val="22"/>
          <w:lang w:val="en"/>
        </w:rPr>
        <w:t xml:space="preserve">e assignment the Consultant should closely cooperate with the project leader at the </w:t>
      </w:r>
      <w:r w:rsidR="006271A0" w:rsidRPr="005D344F">
        <w:rPr>
          <w:rFonts w:ascii="Arial" w:hAnsi="Arial" w:cs="Arial"/>
          <w:sz w:val="22"/>
          <w:szCs w:val="22"/>
        </w:rPr>
        <w:t xml:space="preserve">Committee </w:t>
      </w:r>
      <w:r w:rsidRPr="005D344F">
        <w:rPr>
          <w:rFonts w:ascii="Arial" w:hAnsi="Arial" w:cs="Arial"/>
          <w:color w:val="212121"/>
          <w:sz w:val="22"/>
          <w:szCs w:val="22"/>
          <w:lang w:val="en"/>
        </w:rPr>
        <w:t>and report to the project leader, who should receive all the reports and materials specified in the TOR</w:t>
      </w:r>
      <w:r w:rsidRPr="005D344F">
        <w:rPr>
          <w:rFonts w:ascii="Arial" w:hAnsi="Arial" w:cs="Arial"/>
          <w:color w:val="000000"/>
          <w:sz w:val="22"/>
          <w:szCs w:val="22"/>
        </w:rPr>
        <w:t>.</w:t>
      </w:r>
    </w:p>
    <w:p w14:paraId="215775E7" w14:textId="6C278EEE" w:rsidR="00615AFB" w:rsidRPr="005D344F" w:rsidRDefault="00615AFB" w:rsidP="0079627F">
      <w:pPr>
        <w:spacing w:before="240"/>
        <w:ind w:firstLine="709"/>
        <w:rPr>
          <w:rFonts w:ascii="Arial" w:hAnsi="Arial" w:cs="Arial"/>
          <w:color w:val="000000"/>
          <w:sz w:val="22"/>
          <w:szCs w:val="22"/>
        </w:rPr>
      </w:pPr>
      <w:r w:rsidRPr="005D344F">
        <w:rPr>
          <w:rFonts w:ascii="Arial" w:hAnsi="Arial" w:cs="Arial"/>
          <w:color w:val="000000"/>
          <w:sz w:val="22"/>
          <w:szCs w:val="22"/>
        </w:rPr>
        <w:t xml:space="preserve">6. </w:t>
      </w:r>
      <w:r w:rsidRPr="005D344F">
        <w:rPr>
          <w:rFonts w:ascii="Arial" w:hAnsi="Arial" w:cs="Arial"/>
          <w:color w:val="212121"/>
          <w:sz w:val="22"/>
          <w:szCs w:val="22"/>
          <w:lang w:val="en"/>
        </w:rPr>
        <w:t xml:space="preserve">As each project component is completed the Consultant should conduct training for the staff of the </w:t>
      </w:r>
      <w:r w:rsidR="005C53CC" w:rsidRPr="005D344F">
        <w:rPr>
          <w:rFonts w:ascii="Arial" w:hAnsi="Arial" w:cs="Arial"/>
          <w:sz w:val="22"/>
          <w:szCs w:val="22"/>
        </w:rPr>
        <w:t xml:space="preserve">Committee </w:t>
      </w:r>
      <w:r w:rsidRPr="005D344F">
        <w:rPr>
          <w:rFonts w:ascii="Arial" w:hAnsi="Arial" w:cs="Arial"/>
          <w:color w:val="212121"/>
          <w:sz w:val="22"/>
          <w:szCs w:val="22"/>
          <w:lang w:val="en"/>
        </w:rPr>
        <w:t xml:space="preserve">and concerned agencies on all </w:t>
      </w:r>
      <w:r w:rsidRPr="005D344F">
        <w:rPr>
          <w:rFonts w:ascii="Arial" w:hAnsi="Arial" w:cs="Arial"/>
          <w:color w:val="212121"/>
          <w:sz w:val="22"/>
          <w:szCs w:val="22"/>
        </w:rPr>
        <w:t>areas</w:t>
      </w:r>
      <w:r w:rsidRPr="005D344F">
        <w:rPr>
          <w:rFonts w:ascii="Arial" w:hAnsi="Arial" w:cs="Arial"/>
          <w:color w:val="212121"/>
          <w:sz w:val="22"/>
          <w:szCs w:val="22"/>
          <w:lang w:val="en"/>
        </w:rPr>
        <w:t xml:space="preserve"> of work</w:t>
      </w:r>
      <w:r w:rsidRPr="005D344F">
        <w:rPr>
          <w:rFonts w:ascii="Arial" w:hAnsi="Arial" w:cs="Arial"/>
          <w:color w:val="000000"/>
          <w:sz w:val="22"/>
          <w:szCs w:val="22"/>
        </w:rPr>
        <w:t xml:space="preserve">. </w:t>
      </w:r>
    </w:p>
    <w:p w14:paraId="3352DC6F" w14:textId="569E5C4C" w:rsidR="00615AFB" w:rsidRPr="005D344F" w:rsidRDefault="00615AFB" w:rsidP="0079627F">
      <w:pPr>
        <w:pStyle w:val="HTMLPreformatted"/>
        <w:shd w:val="clear" w:color="auto" w:fill="FFFFFF"/>
        <w:spacing w:before="240"/>
        <w:ind w:firstLine="709"/>
        <w:jc w:val="both"/>
        <w:rPr>
          <w:rFonts w:ascii="Arial" w:hAnsi="Arial" w:cs="Arial"/>
          <w:color w:val="212121"/>
          <w:sz w:val="22"/>
          <w:szCs w:val="22"/>
          <w:lang w:val="en-US"/>
        </w:rPr>
      </w:pPr>
      <w:r w:rsidRPr="005D344F">
        <w:rPr>
          <w:rFonts w:ascii="Arial" w:hAnsi="Arial" w:cs="Arial"/>
          <w:color w:val="000000"/>
          <w:sz w:val="22"/>
          <w:szCs w:val="22"/>
          <w:lang w:val="ky-KG"/>
        </w:rPr>
        <w:t>7. </w:t>
      </w:r>
      <w:r w:rsidRPr="005D344F">
        <w:rPr>
          <w:rFonts w:ascii="Arial" w:hAnsi="Arial" w:cs="Arial"/>
          <w:color w:val="212121"/>
          <w:sz w:val="22"/>
          <w:szCs w:val="22"/>
          <w:lang w:val="en"/>
        </w:rPr>
        <w:t xml:space="preserve">Completion of all work of the Consultant is expected by </w:t>
      </w:r>
      <w:r w:rsidR="00975150">
        <w:rPr>
          <w:rFonts w:ascii="Arial" w:hAnsi="Arial" w:cs="Arial"/>
          <w:color w:val="212121"/>
          <w:sz w:val="22"/>
          <w:szCs w:val="22"/>
          <w:lang w:val="en-US"/>
        </w:rPr>
        <w:t xml:space="preserve">September </w:t>
      </w:r>
      <w:r w:rsidRPr="005D344F">
        <w:rPr>
          <w:rFonts w:ascii="Arial" w:hAnsi="Arial" w:cs="Arial"/>
          <w:color w:val="212121"/>
          <w:sz w:val="22"/>
          <w:szCs w:val="22"/>
          <w:lang w:val="en"/>
        </w:rPr>
        <w:t>202</w:t>
      </w:r>
      <w:r w:rsidR="005C53CC" w:rsidRPr="005D344F">
        <w:rPr>
          <w:rFonts w:ascii="Arial" w:hAnsi="Arial" w:cs="Arial"/>
          <w:color w:val="212121"/>
          <w:sz w:val="22"/>
          <w:szCs w:val="22"/>
          <w:lang w:val="en"/>
        </w:rPr>
        <w:t>4</w:t>
      </w:r>
      <w:r w:rsidRPr="005D344F">
        <w:rPr>
          <w:rFonts w:ascii="Arial" w:hAnsi="Arial" w:cs="Arial"/>
          <w:color w:val="212121"/>
          <w:sz w:val="22"/>
          <w:szCs w:val="22"/>
          <w:lang w:val="en"/>
        </w:rPr>
        <w:t xml:space="preserve"> (assuming a commencement of project starting </w:t>
      </w:r>
      <w:r w:rsidR="00975150">
        <w:rPr>
          <w:rFonts w:ascii="Arial" w:hAnsi="Arial" w:cs="Arial"/>
          <w:color w:val="212121"/>
          <w:sz w:val="22"/>
          <w:szCs w:val="22"/>
          <w:lang w:val="en"/>
        </w:rPr>
        <w:t xml:space="preserve">March </w:t>
      </w:r>
      <w:r w:rsidRPr="005D344F">
        <w:rPr>
          <w:rFonts w:ascii="Arial" w:hAnsi="Arial" w:cs="Arial"/>
          <w:color w:val="212121"/>
          <w:sz w:val="22"/>
          <w:szCs w:val="22"/>
          <w:lang w:val="en"/>
        </w:rPr>
        <w:t>202</w:t>
      </w:r>
      <w:r w:rsidR="00975150">
        <w:rPr>
          <w:rFonts w:ascii="Arial" w:hAnsi="Arial" w:cs="Arial"/>
          <w:color w:val="212121"/>
          <w:sz w:val="22"/>
          <w:szCs w:val="22"/>
          <w:lang w:val="en"/>
        </w:rPr>
        <w:t>4</w:t>
      </w:r>
      <w:bookmarkStart w:id="3" w:name="_GoBack"/>
      <w:bookmarkEnd w:id="3"/>
      <w:r w:rsidRPr="005D344F">
        <w:rPr>
          <w:rFonts w:ascii="Arial" w:hAnsi="Arial" w:cs="Arial"/>
          <w:color w:val="212121"/>
          <w:sz w:val="22"/>
          <w:szCs w:val="22"/>
          <w:lang w:val="en"/>
        </w:rPr>
        <w:t>).</w:t>
      </w:r>
    </w:p>
    <w:p w14:paraId="7266BC85" w14:textId="67CAC95E" w:rsidR="00615AFB" w:rsidRPr="005D344F" w:rsidRDefault="00615AFB" w:rsidP="00442B96">
      <w:pPr>
        <w:spacing w:before="240"/>
        <w:jc w:val="left"/>
        <w:rPr>
          <w:rFonts w:ascii="Arial" w:hAnsi="Arial" w:cs="Arial"/>
          <w:b/>
          <w:bCs/>
          <w:sz w:val="22"/>
          <w:szCs w:val="22"/>
        </w:rPr>
      </w:pPr>
      <w:r w:rsidRPr="005D344F">
        <w:rPr>
          <w:rFonts w:ascii="Arial" w:hAnsi="Arial" w:cs="Arial"/>
          <w:b/>
          <w:bCs/>
          <w:sz w:val="22"/>
          <w:szCs w:val="22"/>
        </w:rPr>
        <w:t>V</w:t>
      </w:r>
      <w:r w:rsidRPr="005D344F">
        <w:rPr>
          <w:rFonts w:ascii="Arial" w:hAnsi="Arial" w:cs="Arial"/>
          <w:b/>
          <w:bCs/>
          <w:sz w:val="22"/>
          <w:szCs w:val="22"/>
          <w:lang w:val="ky-KG"/>
        </w:rPr>
        <w:t>.</w:t>
      </w:r>
      <w:r w:rsidRPr="005D344F">
        <w:rPr>
          <w:rFonts w:ascii="Arial" w:hAnsi="Arial" w:cs="Arial"/>
          <w:b/>
          <w:bCs/>
          <w:sz w:val="22"/>
          <w:szCs w:val="22"/>
        </w:rPr>
        <w:t xml:space="preserve"> OBLIGATIONS OF THE BENEFICIARY</w:t>
      </w:r>
    </w:p>
    <w:p w14:paraId="6A5B3ABE" w14:textId="4F36CA58" w:rsidR="00615AFB" w:rsidRPr="005D344F" w:rsidRDefault="00615AFB" w:rsidP="0079627F">
      <w:pPr>
        <w:spacing w:before="240"/>
        <w:ind w:firstLine="708"/>
        <w:rPr>
          <w:rFonts w:ascii="Arial" w:hAnsi="Arial" w:cs="Arial"/>
          <w:sz w:val="22"/>
          <w:szCs w:val="22"/>
        </w:rPr>
      </w:pPr>
      <w:r w:rsidRPr="005D344F">
        <w:rPr>
          <w:rFonts w:ascii="Arial" w:hAnsi="Arial" w:cs="Arial"/>
          <w:color w:val="212121"/>
          <w:sz w:val="22"/>
          <w:szCs w:val="22"/>
          <w:shd w:val="clear" w:color="auto" w:fill="FFFFFF"/>
        </w:rPr>
        <w:t xml:space="preserve">The </w:t>
      </w:r>
      <w:r w:rsidR="005C53CC" w:rsidRPr="005D344F">
        <w:rPr>
          <w:rFonts w:ascii="Arial" w:hAnsi="Arial" w:cs="Arial"/>
          <w:sz w:val="22"/>
          <w:szCs w:val="22"/>
        </w:rPr>
        <w:t xml:space="preserve">Committee </w:t>
      </w:r>
      <w:r w:rsidRPr="005D344F">
        <w:rPr>
          <w:rFonts w:ascii="Arial" w:hAnsi="Arial" w:cs="Arial"/>
          <w:color w:val="212121"/>
          <w:sz w:val="22"/>
          <w:szCs w:val="22"/>
          <w:shd w:val="clear" w:color="auto" w:fill="FFFFFF"/>
        </w:rPr>
        <w:t>should provide office rooms, supplies, furniture, a local telephone line and Internet access during visit of the consultant</w:t>
      </w:r>
      <w:r w:rsidRPr="005D344F">
        <w:rPr>
          <w:rFonts w:ascii="Arial" w:hAnsi="Arial" w:cs="Arial"/>
          <w:sz w:val="22"/>
          <w:szCs w:val="22"/>
        </w:rPr>
        <w:t xml:space="preserve">. The </w:t>
      </w:r>
      <w:r w:rsidR="005C53CC" w:rsidRPr="005D344F">
        <w:rPr>
          <w:rFonts w:ascii="Arial" w:hAnsi="Arial" w:cs="Arial"/>
          <w:sz w:val="22"/>
          <w:szCs w:val="22"/>
        </w:rPr>
        <w:t xml:space="preserve">Committee </w:t>
      </w:r>
      <w:r w:rsidRPr="005D344F">
        <w:rPr>
          <w:rFonts w:ascii="Arial" w:hAnsi="Arial" w:cs="Arial"/>
          <w:sz w:val="22"/>
          <w:szCs w:val="22"/>
        </w:rPr>
        <w:t xml:space="preserve">will provide all required supporting information about existing law, regulations, circulars, etc. and other reasonable information needed by the consulting firm to execute its duties with respect to the scope of services. </w:t>
      </w:r>
    </w:p>
    <w:p w14:paraId="0DBE0C97" w14:textId="4DA01CD5" w:rsidR="00615AFB" w:rsidRPr="005D344F" w:rsidRDefault="00615AFB" w:rsidP="00442B96">
      <w:pPr>
        <w:spacing w:before="240"/>
        <w:rPr>
          <w:rFonts w:ascii="Arial" w:hAnsi="Arial" w:cs="Arial"/>
          <w:b/>
          <w:sz w:val="22"/>
          <w:szCs w:val="22"/>
        </w:rPr>
      </w:pPr>
      <w:r w:rsidRPr="005D344F">
        <w:rPr>
          <w:rFonts w:ascii="Arial" w:hAnsi="Arial" w:cs="Arial"/>
          <w:b/>
          <w:sz w:val="22"/>
          <w:szCs w:val="22"/>
        </w:rPr>
        <w:t>VI. LIST OF REPORTS, IMPLEMENTATION SCHEDULE</w:t>
      </w:r>
      <w:r w:rsidR="00442B96" w:rsidRPr="005D344F">
        <w:rPr>
          <w:rFonts w:ascii="Arial" w:hAnsi="Arial" w:cs="Arial"/>
          <w:b/>
          <w:sz w:val="22"/>
          <w:szCs w:val="22"/>
        </w:rPr>
        <w:t xml:space="preserve"> </w:t>
      </w:r>
      <w:r w:rsidRPr="005D344F">
        <w:rPr>
          <w:rFonts w:ascii="Arial" w:hAnsi="Arial" w:cs="Arial"/>
          <w:b/>
          <w:sz w:val="22"/>
          <w:szCs w:val="22"/>
        </w:rPr>
        <w:t>AND RESULTS PROVISION</w:t>
      </w:r>
    </w:p>
    <w:p w14:paraId="44A54597" w14:textId="77777777" w:rsidR="00615AFB" w:rsidRPr="005D344F" w:rsidRDefault="00615AFB" w:rsidP="0079627F">
      <w:pPr>
        <w:pStyle w:val="ListParagraph"/>
        <w:spacing w:before="240"/>
        <w:ind w:left="0"/>
        <w:rPr>
          <w:rFonts w:ascii="Arial" w:hAnsi="Arial" w:cs="Arial"/>
          <w:color w:val="000000"/>
          <w:sz w:val="22"/>
          <w:szCs w:val="22"/>
        </w:rPr>
      </w:pPr>
      <w:r w:rsidRPr="005D344F">
        <w:rPr>
          <w:rFonts w:ascii="Arial" w:hAnsi="Arial" w:cs="Arial"/>
          <w:color w:val="000000"/>
          <w:sz w:val="22"/>
          <w:szCs w:val="22"/>
        </w:rPr>
        <w:t xml:space="preserve">1. </w:t>
      </w:r>
      <w:r w:rsidRPr="005D344F">
        <w:rPr>
          <w:rFonts w:ascii="Arial" w:hAnsi="Arial" w:cs="Arial"/>
          <w:b/>
          <w:color w:val="212121"/>
          <w:sz w:val="22"/>
          <w:szCs w:val="22"/>
          <w:lang w:val="en"/>
        </w:rPr>
        <w:t>The Consultant’s work plan</w:t>
      </w:r>
      <w:r w:rsidRPr="005D344F">
        <w:rPr>
          <w:rFonts w:ascii="Arial" w:hAnsi="Arial" w:cs="Arial"/>
          <w:color w:val="212121"/>
          <w:sz w:val="22"/>
          <w:szCs w:val="22"/>
          <w:lang w:val="en"/>
        </w:rPr>
        <w:t xml:space="preserve"> is the action plan that should be realized to successfully implement the project. It should be submitted within </w:t>
      </w:r>
      <w:r w:rsidRPr="005D344F">
        <w:rPr>
          <w:rFonts w:ascii="Arial" w:hAnsi="Arial" w:cs="Arial"/>
          <w:color w:val="212121"/>
          <w:sz w:val="22"/>
          <w:szCs w:val="22"/>
        </w:rPr>
        <w:t>1</w:t>
      </w:r>
      <w:r w:rsidRPr="005D344F">
        <w:rPr>
          <w:rFonts w:ascii="Arial" w:hAnsi="Arial" w:cs="Arial"/>
          <w:color w:val="212121"/>
          <w:sz w:val="22"/>
          <w:szCs w:val="22"/>
          <w:lang w:val="en"/>
        </w:rPr>
        <w:t xml:space="preserve"> week from the date of signature of the contract or other date specified in the contract</w:t>
      </w:r>
      <w:r w:rsidRPr="005D344F">
        <w:rPr>
          <w:rFonts w:ascii="Arial" w:hAnsi="Arial" w:cs="Arial"/>
          <w:color w:val="000000"/>
          <w:sz w:val="22"/>
          <w:szCs w:val="22"/>
        </w:rPr>
        <w:t xml:space="preserve">. </w:t>
      </w:r>
    </w:p>
    <w:p w14:paraId="136B9583" w14:textId="43D823D1" w:rsidR="00615AFB" w:rsidRPr="005D344F" w:rsidRDefault="00615AFB" w:rsidP="0079627F">
      <w:pPr>
        <w:pStyle w:val="ListParagraph"/>
        <w:spacing w:before="240"/>
        <w:ind w:left="0"/>
        <w:rPr>
          <w:rFonts w:ascii="Arial" w:hAnsi="Arial" w:cs="Arial"/>
          <w:color w:val="212121"/>
          <w:sz w:val="22"/>
          <w:szCs w:val="22"/>
          <w:lang w:val="en"/>
        </w:rPr>
      </w:pPr>
      <w:r w:rsidRPr="005D344F">
        <w:rPr>
          <w:rFonts w:ascii="Arial" w:hAnsi="Arial" w:cs="Arial"/>
          <w:color w:val="212121"/>
          <w:sz w:val="22"/>
          <w:szCs w:val="22"/>
          <w:lang w:val="en"/>
        </w:rPr>
        <w:t xml:space="preserve">The initial (overview) reports should be prepared on the basis of the analysis of </w:t>
      </w:r>
      <w:r w:rsidR="00B845F7">
        <w:rPr>
          <w:rFonts w:ascii="Arial" w:hAnsi="Arial" w:cs="Arial"/>
          <w:color w:val="212121"/>
          <w:sz w:val="22"/>
          <w:szCs w:val="22"/>
          <w:lang w:val="en"/>
        </w:rPr>
        <w:t>Regulatory Legal Acts (</w:t>
      </w:r>
      <w:r w:rsidRPr="005D344F">
        <w:rPr>
          <w:rFonts w:ascii="Arial" w:hAnsi="Arial" w:cs="Arial"/>
          <w:color w:val="212121"/>
          <w:sz w:val="22"/>
          <w:szCs w:val="22"/>
          <w:lang w:val="en"/>
        </w:rPr>
        <w:t>RLAs</w:t>
      </w:r>
      <w:r w:rsidR="00B845F7">
        <w:rPr>
          <w:rFonts w:ascii="Arial" w:hAnsi="Arial" w:cs="Arial"/>
          <w:color w:val="212121"/>
          <w:sz w:val="22"/>
          <w:szCs w:val="22"/>
          <w:lang w:val="en"/>
        </w:rPr>
        <w:t>)</w:t>
      </w:r>
      <w:r w:rsidRPr="005D344F">
        <w:rPr>
          <w:rFonts w:ascii="Arial" w:hAnsi="Arial" w:cs="Arial"/>
          <w:color w:val="212121"/>
          <w:sz w:val="22"/>
          <w:szCs w:val="22"/>
          <w:lang w:val="en"/>
        </w:rPr>
        <w:t xml:space="preserve"> which will be published on the official website of the </w:t>
      </w:r>
      <w:r w:rsidR="005C53CC" w:rsidRPr="005D344F">
        <w:rPr>
          <w:rFonts w:ascii="Arial" w:hAnsi="Arial" w:cs="Arial"/>
          <w:sz w:val="22"/>
          <w:szCs w:val="22"/>
        </w:rPr>
        <w:t xml:space="preserve">Committee </w:t>
      </w:r>
      <w:r w:rsidRPr="005D344F">
        <w:rPr>
          <w:rFonts w:ascii="Arial" w:hAnsi="Arial" w:cs="Arial"/>
          <w:color w:val="212121"/>
          <w:sz w:val="22"/>
          <w:szCs w:val="22"/>
          <w:lang w:val="en"/>
        </w:rPr>
        <w:t xml:space="preserve">and should </w:t>
      </w:r>
      <w:r w:rsidRPr="005D344F">
        <w:rPr>
          <w:rFonts w:ascii="Arial" w:hAnsi="Arial" w:cs="Arial"/>
          <w:color w:val="212121"/>
          <w:sz w:val="22"/>
          <w:szCs w:val="22"/>
          <w:lang w:val="en"/>
        </w:rPr>
        <w:lastRenderedPageBreak/>
        <w:t>consist of the following items according to the Performance indicators of the Section 3 “Scope of services”:</w:t>
      </w:r>
    </w:p>
    <w:p w14:paraId="21538C65" w14:textId="77777777" w:rsidR="00615AFB" w:rsidRPr="005D344F" w:rsidRDefault="00615AFB" w:rsidP="0079627F">
      <w:pPr>
        <w:tabs>
          <w:tab w:val="center" w:pos="4320"/>
          <w:tab w:val="right" w:pos="8640"/>
        </w:tabs>
        <w:spacing w:before="240"/>
        <w:ind w:firstLine="709"/>
        <w:rPr>
          <w:rFonts w:ascii="Arial" w:hAnsi="Arial" w:cs="Arial"/>
          <w:sz w:val="22"/>
          <w:szCs w:val="22"/>
        </w:rPr>
      </w:pPr>
      <w:r w:rsidRPr="005D344F">
        <w:rPr>
          <w:rFonts w:ascii="Arial" w:hAnsi="Arial" w:cs="Arial"/>
          <w:sz w:val="22"/>
          <w:szCs w:val="22"/>
        </w:rPr>
        <w:t>- gaps in the legislation;</w:t>
      </w:r>
    </w:p>
    <w:p w14:paraId="1D3DD550" w14:textId="77777777" w:rsidR="00615AFB" w:rsidRPr="005D344F" w:rsidRDefault="00615AFB" w:rsidP="0079627F">
      <w:pPr>
        <w:tabs>
          <w:tab w:val="center" w:pos="4320"/>
          <w:tab w:val="right" w:pos="8640"/>
        </w:tabs>
        <w:spacing w:before="240"/>
        <w:ind w:firstLine="709"/>
        <w:rPr>
          <w:rFonts w:ascii="Arial" w:hAnsi="Arial" w:cs="Arial"/>
          <w:sz w:val="22"/>
          <w:szCs w:val="22"/>
        </w:rPr>
      </w:pPr>
      <w:r w:rsidRPr="005D344F">
        <w:rPr>
          <w:rFonts w:ascii="Arial" w:hAnsi="Arial" w:cs="Arial"/>
          <w:sz w:val="22"/>
          <w:szCs w:val="22"/>
        </w:rPr>
        <w:t>- risk assessment;</w:t>
      </w:r>
    </w:p>
    <w:p w14:paraId="682D10A3" w14:textId="77777777" w:rsidR="00615AFB" w:rsidRPr="005D344F" w:rsidRDefault="00615AFB" w:rsidP="0079627F">
      <w:pPr>
        <w:tabs>
          <w:tab w:val="center" w:pos="4320"/>
          <w:tab w:val="right" w:pos="8640"/>
        </w:tabs>
        <w:spacing w:before="240"/>
        <w:ind w:firstLine="709"/>
        <w:rPr>
          <w:rFonts w:ascii="Arial" w:hAnsi="Arial" w:cs="Arial"/>
          <w:sz w:val="22"/>
          <w:szCs w:val="22"/>
        </w:rPr>
      </w:pPr>
      <w:r w:rsidRPr="005D344F">
        <w:rPr>
          <w:rFonts w:ascii="Arial" w:hAnsi="Arial" w:cs="Arial"/>
          <w:sz w:val="22"/>
          <w:szCs w:val="22"/>
        </w:rPr>
        <w:t>- next steps.</w:t>
      </w:r>
    </w:p>
    <w:p w14:paraId="23E42E5C" w14:textId="77777777" w:rsidR="00615AFB" w:rsidRPr="005D344F" w:rsidRDefault="00615AFB" w:rsidP="00442B96">
      <w:pPr>
        <w:tabs>
          <w:tab w:val="center" w:pos="4320"/>
          <w:tab w:val="right" w:pos="8640"/>
        </w:tabs>
        <w:spacing w:before="240"/>
        <w:rPr>
          <w:rFonts w:ascii="Arial" w:hAnsi="Arial" w:cs="Arial"/>
          <w:color w:val="212121"/>
          <w:sz w:val="22"/>
          <w:szCs w:val="22"/>
          <w:shd w:val="clear" w:color="auto" w:fill="FFFFFF"/>
        </w:rPr>
      </w:pPr>
      <w:r w:rsidRPr="005D344F">
        <w:rPr>
          <w:rFonts w:ascii="Arial" w:hAnsi="Arial" w:cs="Arial"/>
          <w:sz w:val="22"/>
          <w:szCs w:val="22"/>
          <w:lang w:val="ky-KG"/>
        </w:rPr>
        <w:t>2. </w:t>
      </w:r>
      <w:r w:rsidRPr="005D344F">
        <w:rPr>
          <w:rFonts w:ascii="Arial" w:hAnsi="Arial" w:cs="Arial"/>
          <w:sz w:val="22"/>
          <w:szCs w:val="22"/>
          <w:shd w:val="clear" w:color="auto" w:fill="FFFFFF"/>
        </w:rPr>
        <w:t xml:space="preserve">The </w:t>
      </w:r>
      <w:r w:rsidRPr="005D344F">
        <w:rPr>
          <w:rFonts w:ascii="Arial" w:hAnsi="Arial" w:cs="Arial"/>
          <w:color w:val="212121"/>
          <w:sz w:val="22"/>
          <w:szCs w:val="22"/>
          <w:shd w:val="clear" w:color="auto" w:fill="FFFFFF"/>
        </w:rPr>
        <w:t xml:space="preserve">Consultant should submit progress reports to the project </w:t>
      </w:r>
      <w:r w:rsidRPr="005D344F">
        <w:rPr>
          <w:rFonts w:ascii="Arial" w:hAnsi="Arial" w:cs="Arial"/>
          <w:color w:val="212121"/>
          <w:sz w:val="22"/>
          <w:szCs w:val="22"/>
          <w:lang w:val="en"/>
        </w:rPr>
        <w:t>leader</w:t>
      </w:r>
      <w:r w:rsidRPr="005D344F">
        <w:rPr>
          <w:rFonts w:ascii="Arial" w:hAnsi="Arial" w:cs="Arial"/>
          <w:color w:val="212121"/>
          <w:sz w:val="22"/>
          <w:szCs w:val="22"/>
          <w:shd w:val="clear" w:color="auto" w:fill="FFFFFF"/>
        </w:rPr>
        <w:t xml:space="preserve">. </w:t>
      </w:r>
    </w:p>
    <w:p w14:paraId="03D33D8B" w14:textId="55E2F0C6" w:rsidR="00615AFB" w:rsidRPr="005D344F" w:rsidRDefault="00615AFB" w:rsidP="00442B96">
      <w:pPr>
        <w:tabs>
          <w:tab w:val="center" w:pos="4320"/>
          <w:tab w:val="right" w:pos="8640"/>
        </w:tabs>
        <w:spacing w:before="240"/>
        <w:rPr>
          <w:rFonts w:ascii="Arial" w:hAnsi="Arial" w:cs="Arial"/>
          <w:sz w:val="22"/>
          <w:szCs w:val="22"/>
        </w:rPr>
      </w:pPr>
      <w:r w:rsidRPr="005D344F">
        <w:rPr>
          <w:rFonts w:ascii="Arial" w:hAnsi="Arial" w:cs="Arial"/>
          <w:color w:val="212121"/>
          <w:sz w:val="22"/>
          <w:szCs w:val="22"/>
          <w:shd w:val="clear" w:color="auto" w:fill="FFFFFF"/>
        </w:rPr>
        <w:t xml:space="preserve">There should be 2 (two) types of the </w:t>
      </w:r>
      <w:r w:rsidRPr="005D344F">
        <w:rPr>
          <w:rFonts w:ascii="Arial" w:hAnsi="Arial" w:cs="Arial"/>
          <w:b/>
          <w:color w:val="212121"/>
          <w:sz w:val="22"/>
          <w:szCs w:val="22"/>
          <w:shd w:val="clear" w:color="auto" w:fill="FFFFFF"/>
        </w:rPr>
        <w:t>Progress Reports,</w:t>
      </w:r>
      <w:r w:rsidRPr="005D344F">
        <w:rPr>
          <w:rFonts w:ascii="Arial" w:hAnsi="Arial" w:cs="Arial"/>
          <w:color w:val="212121"/>
          <w:sz w:val="22"/>
          <w:szCs w:val="22"/>
          <w:shd w:val="clear" w:color="auto" w:fill="FFFFFF"/>
        </w:rPr>
        <w:t xml:space="preserve"> and the Progress Reports should be submitted to the </w:t>
      </w:r>
      <w:r w:rsidR="005C53CC" w:rsidRPr="005D344F">
        <w:rPr>
          <w:rFonts w:ascii="Arial" w:hAnsi="Arial" w:cs="Arial"/>
          <w:sz w:val="22"/>
          <w:szCs w:val="22"/>
        </w:rPr>
        <w:t>Committee</w:t>
      </w:r>
      <w:r w:rsidRPr="005D344F">
        <w:rPr>
          <w:rFonts w:ascii="Arial" w:hAnsi="Arial" w:cs="Arial"/>
          <w:color w:val="212121"/>
          <w:sz w:val="22"/>
          <w:szCs w:val="22"/>
          <w:shd w:val="clear" w:color="auto" w:fill="FFFFFF"/>
        </w:rPr>
        <w:t xml:space="preserve"> </w:t>
      </w:r>
      <w:r w:rsidRPr="005D344F">
        <w:rPr>
          <w:rFonts w:ascii="Arial" w:hAnsi="Arial" w:cs="Arial"/>
          <w:color w:val="212121"/>
          <w:sz w:val="22"/>
          <w:szCs w:val="22"/>
          <w:u w:val="single"/>
          <w:shd w:val="clear" w:color="auto" w:fill="FFFFFF"/>
        </w:rPr>
        <w:t>in writing</w:t>
      </w:r>
      <w:r w:rsidRPr="005D344F">
        <w:rPr>
          <w:rFonts w:ascii="Arial" w:hAnsi="Arial" w:cs="Arial"/>
          <w:sz w:val="22"/>
          <w:szCs w:val="22"/>
          <w:lang w:val="ky-KG"/>
        </w:rPr>
        <w:t>:</w:t>
      </w:r>
    </w:p>
    <w:p w14:paraId="59ECA0DC" w14:textId="77777777" w:rsidR="00615AFB" w:rsidRPr="005D344F" w:rsidRDefault="00615AFB" w:rsidP="0079627F">
      <w:pPr>
        <w:widowControl w:val="0"/>
        <w:numPr>
          <w:ilvl w:val="0"/>
          <w:numId w:val="19"/>
        </w:numPr>
        <w:spacing w:before="240"/>
        <w:ind w:left="1134"/>
        <w:rPr>
          <w:rFonts w:ascii="Arial" w:hAnsi="Arial" w:cs="Arial"/>
          <w:color w:val="000000"/>
          <w:sz w:val="22"/>
          <w:szCs w:val="22"/>
        </w:rPr>
      </w:pPr>
      <w:r w:rsidRPr="005D344F">
        <w:rPr>
          <w:rFonts w:ascii="Arial" w:hAnsi="Arial" w:cs="Arial"/>
          <w:sz w:val="22"/>
          <w:szCs w:val="22"/>
        </w:rPr>
        <w:t>regularly, on a monthly basis</w:t>
      </w:r>
      <w:r w:rsidRPr="005D344F">
        <w:rPr>
          <w:rFonts w:ascii="Arial" w:hAnsi="Arial" w:cs="Arial"/>
          <w:color w:val="000000"/>
          <w:sz w:val="22"/>
          <w:szCs w:val="22"/>
        </w:rPr>
        <w:t>.</w:t>
      </w:r>
    </w:p>
    <w:p w14:paraId="65E40DEF" w14:textId="77777777" w:rsidR="00615AFB" w:rsidRPr="005D344F" w:rsidRDefault="00615AFB" w:rsidP="0079627F">
      <w:pPr>
        <w:widowControl w:val="0"/>
        <w:numPr>
          <w:ilvl w:val="0"/>
          <w:numId w:val="19"/>
        </w:numPr>
        <w:spacing w:before="240"/>
        <w:ind w:left="1134"/>
        <w:rPr>
          <w:rFonts w:ascii="Arial" w:hAnsi="Arial" w:cs="Arial"/>
          <w:sz w:val="22"/>
          <w:szCs w:val="22"/>
        </w:rPr>
      </w:pPr>
      <w:r w:rsidRPr="005D344F">
        <w:rPr>
          <w:rFonts w:ascii="Arial" w:hAnsi="Arial" w:cs="Arial"/>
          <w:color w:val="000000"/>
          <w:sz w:val="22"/>
          <w:szCs w:val="22"/>
        </w:rPr>
        <w:t>after completion of each component</w:t>
      </w:r>
      <w:r w:rsidRPr="005D344F">
        <w:rPr>
          <w:rFonts w:ascii="Arial" w:hAnsi="Arial" w:cs="Arial"/>
          <w:sz w:val="22"/>
          <w:szCs w:val="22"/>
        </w:rPr>
        <w:t xml:space="preserve">. </w:t>
      </w:r>
    </w:p>
    <w:p w14:paraId="4632DCDE" w14:textId="77777777" w:rsidR="00615AFB" w:rsidRPr="005D344F" w:rsidRDefault="00615AFB" w:rsidP="00442B96">
      <w:pPr>
        <w:widowControl w:val="0"/>
        <w:spacing w:before="240"/>
        <w:rPr>
          <w:rFonts w:ascii="Arial" w:hAnsi="Arial" w:cs="Arial"/>
          <w:color w:val="000000"/>
          <w:sz w:val="22"/>
          <w:szCs w:val="22"/>
        </w:rPr>
      </w:pPr>
      <w:r w:rsidRPr="005D344F">
        <w:rPr>
          <w:rFonts w:ascii="Arial" w:hAnsi="Arial" w:cs="Arial"/>
          <w:color w:val="212121"/>
          <w:sz w:val="22"/>
          <w:szCs w:val="22"/>
          <w:lang w:val="en"/>
        </w:rPr>
        <w:t>Progress reports should include the following information: introduction, goals and objectives of the report, a description of the progress (or reasons for the lack of progress) and scope of work performed by the Consultant during the reporting period, problems and achieved success, conclusion (findings and recommendations of the Consultant), goals and objectives for the next reporting period</w:t>
      </w:r>
      <w:r w:rsidRPr="005D344F">
        <w:rPr>
          <w:rFonts w:ascii="Arial" w:hAnsi="Arial" w:cs="Arial"/>
          <w:color w:val="000000"/>
          <w:sz w:val="22"/>
          <w:szCs w:val="22"/>
        </w:rPr>
        <w:t>.</w:t>
      </w:r>
    </w:p>
    <w:p w14:paraId="285018BA" w14:textId="77777777" w:rsidR="00615AFB" w:rsidRPr="005D344F" w:rsidRDefault="00615AFB" w:rsidP="00442B96">
      <w:pPr>
        <w:tabs>
          <w:tab w:val="center" w:pos="4320"/>
          <w:tab w:val="right" w:pos="8640"/>
        </w:tabs>
        <w:spacing w:before="240"/>
        <w:rPr>
          <w:rFonts w:ascii="Arial" w:hAnsi="Arial" w:cs="Arial"/>
          <w:color w:val="212121"/>
          <w:sz w:val="22"/>
          <w:szCs w:val="22"/>
          <w:shd w:val="clear" w:color="auto" w:fill="FFFFFF"/>
        </w:rPr>
      </w:pPr>
      <w:r w:rsidRPr="005D344F">
        <w:rPr>
          <w:rFonts w:ascii="Arial" w:hAnsi="Arial" w:cs="Arial"/>
          <w:sz w:val="22"/>
          <w:szCs w:val="22"/>
          <w:lang w:val="ky-KG"/>
        </w:rPr>
        <w:t>3.</w:t>
      </w:r>
      <w:r w:rsidRPr="005D344F">
        <w:rPr>
          <w:rFonts w:ascii="Arial" w:hAnsi="Arial" w:cs="Arial"/>
          <w:b/>
          <w:sz w:val="22"/>
          <w:szCs w:val="22"/>
          <w:lang w:val="ky-KG"/>
        </w:rPr>
        <w:t> </w:t>
      </w:r>
      <w:r w:rsidRPr="005D344F">
        <w:rPr>
          <w:rFonts w:ascii="Arial" w:hAnsi="Arial" w:cs="Arial"/>
          <w:color w:val="212121"/>
          <w:sz w:val="22"/>
          <w:szCs w:val="22"/>
          <w:shd w:val="clear" w:color="auto" w:fill="FFFFFF"/>
        </w:rPr>
        <w:t xml:space="preserve">The </w:t>
      </w:r>
      <w:r w:rsidRPr="005D344F">
        <w:rPr>
          <w:rFonts w:ascii="Arial" w:hAnsi="Arial" w:cs="Arial"/>
          <w:b/>
          <w:color w:val="212121"/>
          <w:sz w:val="22"/>
          <w:szCs w:val="22"/>
          <w:shd w:val="clear" w:color="auto" w:fill="FFFFFF"/>
        </w:rPr>
        <w:t>Final Reports</w:t>
      </w:r>
      <w:r w:rsidRPr="005D344F">
        <w:rPr>
          <w:rFonts w:ascii="Arial" w:hAnsi="Arial" w:cs="Arial"/>
          <w:color w:val="212121"/>
          <w:sz w:val="22"/>
          <w:szCs w:val="22"/>
          <w:shd w:val="clear" w:color="auto" w:fill="FFFFFF"/>
        </w:rPr>
        <w:t xml:space="preserve"> should summarize the results of the Consultant’s work and contain a list of activities, their description and recommendations for the successful completion of the project</w:t>
      </w:r>
      <w:r w:rsidRPr="005D344F">
        <w:rPr>
          <w:rFonts w:ascii="Arial" w:hAnsi="Arial" w:cs="Arial"/>
          <w:sz w:val="22"/>
          <w:szCs w:val="22"/>
        </w:rPr>
        <w:t xml:space="preserve">.  </w:t>
      </w:r>
    </w:p>
    <w:p w14:paraId="23D15683" w14:textId="580EA651" w:rsidR="00615AFB" w:rsidRPr="005D344F" w:rsidRDefault="00615AFB" w:rsidP="00442B96">
      <w:pPr>
        <w:spacing w:before="240"/>
        <w:rPr>
          <w:rFonts w:ascii="Arial" w:hAnsi="Arial" w:cs="Arial"/>
          <w:sz w:val="22"/>
          <w:szCs w:val="22"/>
        </w:rPr>
      </w:pPr>
      <w:r w:rsidRPr="005D344F">
        <w:rPr>
          <w:rFonts w:ascii="Arial" w:hAnsi="Arial" w:cs="Arial"/>
          <w:sz w:val="22"/>
          <w:szCs w:val="22"/>
          <w:lang w:val="ky-KG"/>
        </w:rPr>
        <w:t>4. </w:t>
      </w:r>
      <w:r w:rsidRPr="005D344F">
        <w:rPr>
          <w:rFonts w:ascii="Arial" w:hAnsi="Arial" w:cs="Arial"/>
          <w:color w:val="212121"/>
          <w:sz w:val="22"/>
          <w:szCs w:val="22"/>
          <w:lang w:val="en"/>
        </w:rPr>
        <w:t xml:space="preserve">Upon request of the </w:t>
      </w:r>
      <w:r w:rsidR="005C53CC" w:rsidRPr="005D344F">
        <w:rPr>
          <w:rFonts w:ascii="Arial" w:hAnsi="Arial" w:cs="Arial"/>
          <w:sz w:val="22"/>
          <w:szCs w:val="22"/>
        </w:rPr>
        <w:t xml:space="preserve">Committee </w:t>
      </w:r>
      <w:r w:rsidRPr="005D344F">
        <w:rPr>
          <w:rFonts w:ascii="Arial" w:hAnsi="Arial" w:cs="Arial"/>
          <w:color w:val="212121"/>
          <w:sz w:val="22"/>
          <w:szCs w:val="22"/>
          <w:lang w:val="en"/>
        </w:rPr>
        <w:t xml:space="preserve">the Consultant prepares and presents a report and presentations for the management of the </w:t>
      </w:r>
      <w:r w:rsidR="005C53CC" w:rsidRPr="005D344F">
        <w:rPr>
          <w:rFonts w:ascii="Arial" w:hAnsi="Arial" w:cs="Arial"/>
          <w:sz w:val="22"/>
          <w:szCs w:val="22"/>
        </w:rPr>
        <w:t xml:space="preserve">Committee </w:t>
      </w:r>
      <w:r w:rsidRPr="005D344F">
        <w:rPr>
          <w:rFonts w:ascii="Arial" w:hAnsi="Arial" w:cs="Arial"/>
          <w:color w:val="212121"/>
          <w:sz w:val="22"/>
          <w:szCs w:val="22"/>
          <w:lang w:val="en"/>
        </w:rPr>
        <w:t>and concerned structural units</w:t>
      </w:r>
      <w:r w:rsidRPr="005D344F">
        <w:rPr>
          <w:rFonts w:ascii="Arial" w:hAnsi="Arial" w:cs="Arial"/>
          <w:sz w:val="22"/>
          <w:szCs w:val="22"/>
        </w:rPr>
        <w:t>.</w:t>
      </w:r>
    </w:p>
    <w:p w14:paraId="30F0A93F" w14:textId="77777777" w:rsidR="00615AFB" w:rsidRPr="005D344F" w:rsidRDefault="00615AFB" w:rsidP="00442B96">
      <w:pPr>
        <w:keepNext/>
        <w:suppressAutoHyphens/>
        <w:spacing w:before="240"/>
        <w:outlineLvl w:val="2"/>
        <w:rPr>
          <w:rFonts w:ascii="Arial" w:hAnsi="Arial" w:cs="Arial"/>
          <w:b/>
          <w:bCs/>
          <w:sz w:val="22"/>
          <w:szCs w:val="22"/>
          <w:lang w:val="ky-KG"/>
        </w:rPr>
      </w:pPr>
      <w:r w:rsidRPr="005D344F">
        <w:rPr>
          <w:rFonts w:ascii="Arial" w:hAnsi="Arial" w:cs="Arial"/>
          <w:sz w:val="22"/>
          <w:szCs w:val="22"/>
          <w:lang w:val="ky-KG"/>
        </w:rPr>
        <w:t>5. </w:t>
      </w:r>
      <w:r w:rsidRPr="005D344F">
        <w:rPr>
          <w:rFonts w:ascii="Arial" w:hAnsi="Arial" w:cs="Arial"/>
          <w:color w:val="212121"/>
          <w:sz w:val="22"/>
          <w:szCs w:val="22"/>
          <w:lang w:val="en"/>
        </w:rPr>
        <w:t>All reports and conclusions are submitted to the project leader in writing in an accessible (English/Russian) language</w:t>
      </w:r>
      <w:r w:rsidRPr="005D344F">
        <w:rPr>
          <w:rFonts w:ascii="Arial" w:hAnsi="Arial" w:cs="Arial"/>
          <w:color w:val="000000"/>
          <w:sz w:val="22"/>
          <w:szCs w:val="22"/>
        </w:rPr>
        <w:t>.</w:t>
      </w:r>
    </w:p>
    <w:p w14:paraId="1B999E92" w14:textId="77777777" w:rsidR="00615AFB" w:rsidRPr="005D344F" w:rsidRDefault="00615AFB" w:rsidP="00442B96">
      <w:pPr>
        <w:keepNext/>
        <w:suppressAutoHyphens/>
        <w:spacing w:before="240"/>
        <w:outlineLvl w:val="2"/>
        <w:rPr>
          <w:rFonts w:ascii="Arial" w:hAnsi="Arial" w:cs="Arial"/>
          <w:sz w:val="22"/>
          <w:szCs w:val="22"/>
          <w:lang w:val="ky-KG"/>
        </w:rPr>
      </w:pPr>
      <w:r w:rsidRPr="005D344F">
        <w:rPr>
          <w:rFonts w:ascii="Arial" w:hAnsi="Arial" w:cs="Arial"/>
          <w:sz w:val="22"/>
          <w:szCs w:val="22"/>
          <w:lang w:val="ky-KG"/>
        </w:rPr>
        <w:t>6. </w:t>
      </w:r>
      <w:r w:rsidRPr="005D344F">
        <w:rPr>
          <w:rFonts w:ascii="Arial" w:hAnsi="Arial" w:cs="Arial"/>
          <w:color w:val="212121"/>
          <w:sz w:val="22"/>
          <w:szCs w:val="22"/>
          <w:lang w:val="en"/>
        </w:rPr>
        <w:t>The specific deadlines for the submission of the report(s) and the content of the report(s) will be detailed in the course of the contract negotiations</w:t>
      </w:r>
      <w:r w:rsidRPr="005D344F">
        <w:rPr>
          <w:rFonts w:ascii="Arial" w:hAnsi="Arial" w:cs="Arial"/>
          <w:sz w:val="22"/>
          <w:szCs w:val="22"/>
          <w:lang w:val="ky-KG"/>
        </w:rPr>
        <w:t>.</w:t>
      </w:r>
    </w:p>
    <w:p w14:paraId="6F6501DB" w14:textId="5A38EC25" w:rsidR="00615AFB" w:rsidRPr="005D344F" w:rsidRDefault="00615AFB" w:rsidP="00442B96">
      <w:pPr>
        <w:keepNext/>
        <w:suppressAutoHyphens/>
        <w:spacing w:before="240"/>
        <w:outlineLvl w:val="2"/>
        <w:rPr>
          <w:rFonts w:ascii="Arial" w:hAnsi="Arial" w:cs="Arial"/>
          <w:sz w:val="22"/>
          <w:szCs w:val="22"/>
        </w:rPr>
      </w:pPr>
      <w:r w:rsidRPr="005D344F">
        <w:rPr>
          <w:rFonts w:ascii="Arial" w:hAnsi="Arial" w:cs="Arial"/>
          <w:sz w:val="22"/>
          <w:szCs w:val="22"/>
        </w:rPr>
        <w:t xml:space="preserve">7. Upon provision of the services, including trainings/practical seminars and delivery of the reports approved by the project manager the Parties shall sign the Certificates of Services Delivery and Acceptance. The basis for payment of consulting services will be the Certificates of Services Delivery and Acceptance and the corresponding </w:t>
      </w:r>
      <w:r w:rsidR="00F85ACF" w:rsidRPr="005D344F">
        <w:rPr>
          <w:rFonts w:ascii="Arial" w:hAnsi="Arial" w:cs="Arial"/>
          <w:sz w:val="22"/>
          <w:szCs w:val="22"/>
        </w:rPr>
        <w:t>invoices.</w:t>
      </w:r>
      <w:r w:rsidRPr="005D344F">
        <w:rPr>
          <w:rFonts w:ascii="Arial" w:hAnsi="Arial" w:cs="Arial"/>
          <w:sz w:val="22"/>
          <w:szCs w:val="22"/>
        </w:rPr>
        <w:t xml:space="preserve"> </w:t>
      </w:r>
    </w:p>
    <w:p w14:paraId="4A12EC66" w14:textId="51BAF66D" w:rsidR="005C53CC" w:rsidRPr="005D344F" w:rsidRDefault="005C53CC" w:rsidP="0079627F">
      <w:pPr>
        <w:spacing w:before="240"/>
        <w:rPr>
          <w:rFonts w:ascii="Arial" w:hAnsi="Arial" w:cs="Arial"/>
          <w:bCs/>
          <w:sz w:val="22"/>
          <w:szCs w:val="22"/>
        </w:rPr>
      </w:pPr>
      <w:r w:rsidRPr="005D344F">
        <w:rPr>
          <w:rFonts w:ascii="Arial" w:hAnsi="Arial" w:cs="Arial"/>
          <w:bCs/>
          <w:sz w:val="22"/>
          <w:szCs w:val="22"/>
        </w:rPr>
        <w:t>8. Deliverables:</w:t>
      </w:r>
      <w:r w:rsidR="005D344F" w:rsidRPr="00B845F7">
        <w:rPr>
          <w:rFonts w:ascii="Arial" w:hAnsi="Arial" w:cs="Arial"/>
          <w:bCs/>
          <w:sz w:val="22"/>
          <w:szCs w:val="22"/>
        </w:rPr>
        <w:t xml:space="preserve"> </w:t>
      </w:r>
      <w:r w:rsidRPr="005D344F">
        <w:rPr>
          <w:rFonts w:ascii="Arial" w:hAnsi="Arial" w:cs="Arial"/>
          <w:bCs/>
          <w:sz w:val="22"/>
          <w:szCs w:val="22"/>
        </w:rPr>
        <w:t>The expected deliverables of the project are:</w:t>
      </w:r>
    </w:p>
    <w:p w14:paraId="57A47C30" w14:textId="0318574A" w:rsidR="005C53CC" w:rsidRPr="005D344F" w:rsidRDefault="005C53CC" w:rsidP="00442B96">
      <w:pPr>
        <w:pStyle w:val="ListParagraph"/>
        <w:numPr>
          <w:ilvl w:val="1"/>
          <w:numId w:val="32"/>
        </w:numPr>
        <w:spacing w:before="240"/>
        <w:ind w:left="851"/>
        <w:rPr>
          <w:rFonts w:ascii="Arial" w:hAnsi="Arial" w:cs="Arial"/>
          <w:bCs/>
          <w:sz w:val="22"/>
          <w:szCs w:val="22"/>
        </w:rPr>
      </w:pPr>
      <w:r w:rsidRPr="005D344F">
        <w:rPr>
          <w:rFonts w:ascii="Arial" w:hAnsi="Arial" w:cs="Arial"/>
          <w:bCs/>
          <w:sz w:val="22"/>
          <w:szCs w:val="22"/>
        </w:rPr>
        <w:t>An assessment report on the current state of Awqaf management and regulatory framework.</w:t>
      </w:r>
      <w:r w:rsidR="00442B96" w:rsidRPr="005D344F">
        <w:rPr>
          <w:rFonts w:ascii="Arial" w:hAnsi="Arial" w:cs="Arial"/>
          <w:bCs/>
          <w:sz w:val="22"/>
          <w:szCs w:val="22"/>
        </w:rPr>
        <w:t xml:space="preserve"> The </w:t>
      </w:r>
      <w:r w:rsidR="00442B96" w:rsidRPr="005D344F">
        <w:rPr>
          <w:rFonts w:ascii="Arial" w:hAnsi="Arial" w:cs="Arial"/>
          <w:sz w:val="22"/>
          <w:szCs w:val="22"/>
          <w:lang w:eastAsia="ru-RU"/>
        </w:rPr>
        <w:t>draft of a comprehensive Awqaf law that covers all aspects of Awqaf.</w:t>
      </w:r>
    </w:p>
    <w:p w14:paraId="45DDDCD1" w14:textId="1BE052DA" w:rsidR="005C53CC" w:rsidRPr="005D344F" w:rsidRDefault="005C53CC" w:rsidP="00442B96">
      <w:pPr>
        <w:pStyle w:val="ListParagraph"/>
        <w:numPr>
          <w:ilvl w:val="1"/>
          <w:numId w:val="32"/>
        </w:numPr>
        <w:spacing w:before="240"/>
        <w:ind w:left="851"/>
        <w:rPr>
          <w:rFonts w:ascii="Arial" w:hAnsi="Arial" w:cs="Arial"/>
          <w:bCs/>
          <w:sz w:val="22"/>
          <w:szCs w:val="22"/>
        </w:rPr>
      </w:pPr>
      <w:r w:rsidRPr="005D344F">
        <w:rPr>
          <w:rFonts w:ascii="Arial" w:hAnsi="Arial" w:cs="Arial"/>
          <w:bCs/>
          <w:sz w:val="22"/>
          <w:szCs w:val="22"/>
        </w:rPr>
        <w:t>A capacity building plan for Awqaf personnel and management teams.</w:t>
      </w:r>
    </w:p>
    <w:p w14:paraId="6B6D17D6" w14:textId="5B2237FF" w:rsidR="005C53CC" w:rsidRPr="005D344F" w:rsidRDefault="005C53CC" w:rsidP="00442B96">
      <w:pPr>
        <w:pStyle w:val="ListParagraph"/>
        <w:numPr>
          <w:ilvl w:val="1"/>
          <w:numId w:val="32"/>
        </w:numPr>
        <w:spacing w:before="240"/>
        <w:ind w:left="851"/>
        <w:rPr>
          <w:rFonts w:ascii="Arial" w:hAnsi="Arial" w:cs="Arial"/>
          <w:bCs/>
          <w:sz w:val="22"/>
          <w:szCs w:val="22"/>
        </w:rPr>
      </w:pPr>
      <w:r w:rsidRPr="005D344F">
        <w:rPr>
          <w:rFonts w:ascii="Arial" w:hAnsi="Arial" w:cs="Arial"/>
          <w:bCs/>
          <w:sz w:val="22"/>
          <w:szCs w:val="22"/>
        </w:rPr>
        <w:t>Investment opportunities report for Awqaf assets.</w:t>
      </w:r>
    </w:p>
    <w:p w14:paraId="368A53BB" w14:textId="46B3146F" w:rsidR="005C53CC" w:rsidRPr="005D344F" w:rsidRDefault="005C53CC" w:rsidP="00442B96">
      <w:pPr>
        <w:pStyle w:val="ListParagraph"/>
        <w:numPr>
          <w:ilvl w:val="1"/>
          <w:numId w:val="32"/>
        </w:numPr>
        <w:spacing w:before="240"/>
        <w:ind w:left="851"/>
        <w:rPr>
          <w:rFonts w:ascii="Arial" w:hAnsi="Arial" w:cs="Arial"/>
          <w:bCs/>
          <w:sz w:val="22"/>
          <w:szCs w:val="22"/>
        </w:rPr>
      </w:pPr>
      <w:r w:rsidRPr="005D344F">
        <w:rPr>
          <w:rFonts w:ascii="Arial" w:hAnsi="Arial" w:cs="Arial"/>
          <w:bCs/>
          <w:sz w:val="22"/>
          <w:szCs w:val="22"/>
        </w:rPr>
        <w:t>A comprehensive model for Awqaf asset management.</w:t>
      </w:r>
    </w:p>
    <w:p w14:paraId="685BD2F9" w14:textId="01B2BA61" w:rsidR="005C53CC" w:rsidRPr="005D344F" w:rsidRDefault="005C53CC" w:rsidP="00442B96">
      <w:pPr>
        <w:pStyle w:val="ListParagraph"/>
        <w:numPr>
          <w:ilvl w:val="1"/>
          <w:numId w:val="32"/>
        </w:numPr>
        <w:spacing w:before="240"/>
        <w:ind w:left="851"/>
        <w:rPr>
          <w:rFonts w:ascii="Arial" w:hAnsi="Arial" w:cs="Arial"/>
          <w:bCs/>
          <w:sz w:val="22"/>
          <w:szCs w:val="22"/>
        </w:rPr>
      </w:pPr>
      <w:r w:rsidRPr="005D344F">
        <w:rPr>
          <w:rFonts w:ascii="Arial" w:hAnsi="Arial" w:cs="Arial"/>
          <w:bCs/>
          <w:sz w:val="22"/>
          <w:szCs w:val="22"/>
        </w:rPr>
        <w:t>A report summarizing outreach and awareness program results.</w:t>
      </w:r>
    </w:p>
    <w:p w14:paraId="1F12F8F8" w14:textId="09F6C07C" w:rsidR="00615AFB" w:rsidRPr="005D344F" w:rsidRDefault="005C53CC" w:rsidP="00442B96">
      <w:pPr>
        <w:pStyle w:val="ListParagraph"/>
        <w:numPr>
          <w:ilvl w:val="1"/>
          <w:numId w:val="32"/>
        </w:numPr>
        <w:spacing w:before="240"/>
        <w:ind w:left="851"/>
        <w:rPr>
          <w:rFonts w:ascii="Arial" w:hAnsi="Arial" w:cs="Arial"/>
          <w:bCs/>
          <w:sz w:val="22"/>
          <w:szCs w:val="22"/>
        </w:rPr>
      </w:pPr>
      <w:r w:rsidRPr="005D344F">
        <w:rPr>
          <w:rFonts w:ascii="Arial" w:hAnsi="Arial" w:cs="Arial"/>
          <w:bCs/>
          <w:sz w:val="22"/>
          <w:szCs w:val="22"/>
        </w:rPr>
        <w:t>A report outlining transparency and accountability mechanisms for Awqaf management.</w:t>
      </w:r>
    </w:p>
    <w:p w14:paraId="35E5F6B2" w14:textId="77777777" w:rsidR="00615AFB" w:rsidRPr="005D344F" w:rsidRDefault="00615AFB" w:rsidP="005D344F">
      <w:pPr>
        <w:spacing w:before="240"/>
        <w:rPr>
          <w:rFonts w:ascii="Arial" w:hAnsi="Arial" w:cs="Arial"/>
          <w:b/>
          <w:sz w:val="22"/>
          <w:szCs w:val="22"/>
        </w:rPr>
      </w:pPr>
      <w:r w:rsidRPr="005D344F">
        <w:rPr>
          <w:rFonts w:ascii="Arial" w:hAnsi="Arial" w:cs="Arial"/>
          <w:b/>
          <w:sz w:val="22"/>
          <w:szCs w:val="22"/>
        </w:rPr>
        <w:t>VII. PROPOSED PAYMENT SCHEDULE</w:t>
      </w:r>
    </w:p>
    <w:p w14:paraId="2EE4025F" w14:textId="3B5292CC" w:rsidR="00615AFB" w:rsidRPr="005D344F" w:rsidRDefault="00615AFB" w:rsidP="0079627F">
      <w:pPr>
        <w:spacing w:before="240"/>
        <w:rPr>
          <w:rFonts w:ascii="Arial" w:hAnsi="Arial" w:cs="Arial"/>
          <w:sz w:val="22"/>
          <w:szCs w:val="22"/>
        </w:rPr>
      </w:pPr>
      <w:r w:rsidRPr="005D344F">
        <w:rPr>
          <w:rFonts w:ascii="Arial" w:hAnsi="Arial" w:cs="Arial"/>
          <w:sz w:val="22"/>
          <w:szCs w:val="22"/>
        </w:rPr>
        <w:lastRenderedPageBreak/>
        <w:t xml:space="preserve">Specific payment percentages </w:t>
      </w:r>
      <w:r w:rsidR="002B5126">
        <w:rPr>
          <w:rFonts w:ascii="Arial" w:hAnsi="Arial" w:cs="Arial"/>
          <w:sz w:val="22"/>
          <w:szCs w:val="22"/>
        </w:rPr>
        <w:t xml:space="preserve">is indicated in special conditions of the Contract and may be negotiated </w:t>
      </w:r>
      <w:r w:rsidRPr="005D344F">
        <w:rPr>
          <w:rFonts w:ascii="Arial" w:hAnsi="Arial" w:cs="Arial"/>
          <w:sz w:val="22"/>
          <w:szCs w:val="22"/>
        </w:rPr>
        <w:t>with the selected consulting during the contracting stage of procurement.</w:t>
      </w:r>
    </w:p>
    <w:p w14:paraId="1E3BF84B" w14:textId="77777777" w:rsidR="00615AFB" w:rsidRPr="005D344F" w:rsidRDefault="00615AFB" w:rsidP="005D344F">
      <w:pPr>
        <w:spacing w:before="240"/>
        <w:rPr>
          <w:rFonts w:ascii="Arial" w:hAnsi="Arial" w:cs="Arial"/>
          <w:b/>
          <w:sz w:val="22"/>
          <w:szCs w:val="22"/>
        </w:rPr>
      </w:pPr>
      <w:r w:rsidRPr="005D344F">
        <w:rPr>
          <w:rFonts w:ascii="Arial" w:hAnsi="Arial" w:cs="Arial"/>
          <w:b/>
          <w:sz w:val="22"/>
          <w:szCs w:val="22"/>
        </w:rPr>
        <w:t>VIII. NON-DISCLOSURE OF INFORMATION</w:t>
      </w:r>
    </w:p>
    <w:p w14:paraId="7DB10678" w14:textId="79C99EB6" w:rsidR="00615AFB" w:rsidRPr="005D344F" w:rsidRDefault="00615AFB" w:rsidP="005D344F">
      <w:pPr>
        <w:spacing w:before="240"/>
        <w:rPr>
          <w:rFonts w:ascii="Arial" w:hAnsi="Arial" w:cs="Arial"/>
          <w:color w:val="000000"/>
          <w:sz w:val="22"/>
          <w:szCs w:val="22"/>
        </w:rPr>
      </w:pPr>
      <w:r w:rsidRPr="005D344F">
        <w:rPr>
          <w:rFonts w:ascii="Arial" w:hAnsi="Arial" w:cs="Arial"/>
          <w:color w:val="212121"/>
          <w:sz w:val="22"/>
          <w:szCs w:val="22"/>
          <w:lang w:val="en"/>
        </w:rPr>
        <w:t xml:space="preserve">Upon receipt of these terms of reference the Consultant confirms that all information collected during the process of submission of the proposal (including the information contained in the TOR) is strictly confidential and should not be transferred to a third party (namely, the party other than the Consultant and Islamic Development Bank) or otherwise used without the appropriate permission of </w:t>
      </w:r>
      <w:r w:rsidR="00683FA4" w:rsidRPr="005D344F">
        <w:rPr>
          <w:rFonts w:ascii="Arial" w:hAnsi="Arial" w:cs="Arial"/>
          <w:color w:val="212121"/>
          <w:sz w:val="22"/>
          <w:szCs w:val="22"/>
          <w:lang w:val="en"/>
        </w:rPr>
        <w:t xml:space="preserve">the </w:t>
      </w:r>
      <w:r w:rsidR="00683FA4" w:rsidRPr="005D344F">
        <w:rPr>
          <w:rFonts w:ascii="Arial" w:hAnsi="Arial" w:cs="Arial"/>
          <w:sz w:val="22"/>
          <w:szCs w:val="22"/>
        </w:rPr>
        <w:t>Committee</w:t>
      </w:r>
      <w:r w:rsidRPr="005D344F">
        <w:rPr>
          <w:rFonts w:ascii="Arial" w:hAnsi="Arial" w:cs="Arial"/>
          <w:color w:val="212121"/>
          <w:sz w:val="22"/>
          <w:szCs w:val="22"/>
          <w:lang w:val="en"/>
        </w:rPr>
        <w:t xml:space="preserve">. Upon completion of the assignment the Consultant should return all the materials to </w:t>
      </w:r>
      <w:r w:rsidR="00683FA4" w:rsidRPr="005D344F">
        <w:rPr>
          <w:rFonts w:ascii="Arial" w:hAnsi="Arial" w:cs="Arial"/>
          <w:color w:val="212121"/>
          <w:sz w:val="22"/>
          <w:szCs w:val="22"/>
          <w:lang w:val="en"/>
        </w:rPr>
        <w:t xml:space="preserve">the </w:t>
      </w:r>
      <w:r w:rsidR="00683FA4" w:rsidRPr="005D344F">
        <w:rPr>
          <w:rFonts w:ascii="Arial" w:hAnsi="Arial" w:cs="Arial"/>
          <w:sz w:val="22"/>
          <w:szCs w:val="22"/>
        </w:rPr>
        <w:t>Committee</w:t>
      </w:r>
      <w:r w:rsidRPr="005D344F">
        <w:rPr>
          <w:rFonts w:ascii="Arial" w:hAnsi="Arial" w:cs="Arial"/>
          <w:color w:val="000000"/>
          <w:sz w:val="22"/>
          <w:szCs w:val="22"/>
        </w:rPr>
        <w:t>.</w:t>
      </w:r>
    </w:p>
    <w:p w14:paraId="02E9D43B" w14:textId="6917724B" w:rsidR="0033155B" w:rsidRPr="005D344F" w:rsidRDefault="00615AFB" w:rsidP="005D344F">
      <w:pPr>
        <w:spacing w:before="240"/>
        <w:rPr>
          <w:rFonts w:ascii="Arial" w:hAnsi="Arial" w:cs="Arial"/>
          <w:spacing w:val="-2"/>
          <w:sz w:val="22"/>
          <w:szCs w:val="22"/>
        </w:rPr>
      </w:pPr>
      <w:r w:rsidRPr="005D344F">
        <w:rPr>
          <w:rFonts w:ascii="Arial" w:hAnsi="Arial" w:cs="Arial"/>
          <w:color w:val="212121"/>
          <w:sz w:val="22"/>
          <w:szCs w:val="22"/>
          <w:lang w:val="en"/>
        </w:rPr>
        <w:t>To avoid any doubt the Consultant agrees to keep the information contained herein in secret, even if the Consultant decides not to render services under the TOR</w:t>
      </w:r>
      <w:r w:rsidRPr="005D344F">
        <w:rPr>
          <w:rFonts w:ascii="Arial" w:hAnsi="Arial" w:cs="Arial"/>
          <w:spacing w:val="-2"/>
          <w:sz w:val="22"/>
          <w:szCs w:val="22"/>
        </w:rPr>
        <w:t>.</w:t>
      </w:r>
    </w:p>
    <w:p w14:paraId="6C0B9268" w14:textId="77777777" w:rsidR="00615AFB" w:rsidRPr="005D344F" w:rsidRDefault="00615AFB" w:rsidP="005D344F">
      <w:pPr>
        <w:spacing w:before="240"/>
        <w:rPr>
          <w:rFonts w:ascii="Arial" w:hAnsi="Arial" w:cs="Arial"/>
          <w:b/>
          <w:bCs/>
          <w:color w:val="000000"/>
          <w:sz w:val="22"/>
          <w:szCs w:val="22"/>
        </w:rPr>
      </w:pPr>
      <w:r w:rsidRPr="005D344F">
        <w:rPr>
          <w:rFonts w:ascii="Arial" w:hAnsi="Arial" w:cs="Arial"/>
          <w:b/>
          <w:sz w:val="22"/>
          <w:szCs w:val="22"/>
        </w:rPr>
        <w:t>IX.</w:t>
      </w:r>
      <w:r w:rsidRPr="005D344F">
        <w:rPr>
          <w:rFonts w:ascii="Arial" w:hAnsi="Arial" w:cs="Arial"/>
          <w:b/>
          <w:bCs/>
          <w:color w:val="000000"/>
          <w:sz w:val="22"/>
          <w:szCs w:val="22"/>
        </w:rPr>
        <w:t xml:space="preserve"> SELECTION CRITERIA</w:t>
      </w:r>
    </w:p>
    <w:p w14:paraId="12FC8922" w14:textId="0892C598" w:rsidR="00615AFB" w:rsidRPr="005D344F" w:rsidRDefault="00615AFB" w:rsidP="005D344F">
      <w:pPr>
        <w:spacing w:before="240"/>
        <w:rPr>
          <w:rFonts w:ascii="Arial" w:hAnsi="Arial" w:cs="Arial"/>
          <w:sz w:val="22"/>
          <w:szCs w:val="22"/>
        </w:rPr>
      </w:pPr>
      <w:r w:rsidRPr="005D344F">
        <w:rPr>
          <w:rFonts w:ascii="Arial" w:hAnsi="Arial" w:cs="Arial"/>
          <w:color w:val="212121"/>
          <w:sz w:val="22"/>
          <w:szCs w:val="22"/>
          <w:lang w:val="en"/>
        </w:rPr>
        <w:t xml:space="preserve">Selection of the Consultant will be carried out with the use of a </w:t>
      </w:r>
      <w:r w:rsidR="00975150">
        <w:rPr>
          <w:rFonts w:ascii="Arial" w:hAnsi="Arial" w:cs="Arial"/>
          <w:color w:val="212121"/>
          <w:sz w:val="22"/>
          <w:szCs w:val="22"/>
          <w:lang w:val="en"/>
        </w:rPr>
        <w:t>Consultant Qualification Selection</w:t>
      </w:r>
      <w:r w:rsidRPr="005D344F">
        <w:rPr>
          <w:rFonts w:ascii="Arial" w:hAnsi="Arial" w:cs="Arial"/>
          <w:color w:val="212121"/>
          <w:sz w:val="22"/>
          <w:szCs w:val="22"/>
          <w:lang w:val="en"/>
        </w:rPr>
        <w:t xml:space="preserve"> </w:t>
      </w:r>
      <w:r w:rsidR="00975150">
        <w:rPr>
          <w:rFonts w:ascii="Arial" w:hAnsi="Arial" w:cs="Arial"/>
          <w:color w:val="212121"/>
          <w:sz w:val="22"/>
          <w:szCs w:val="22"/>
          <w:lang w:val="en"/>
        </w:rPr>
        <w:t xml:space="preserve">Member Countries </w:t>
      </w:r>
      <w:r w:rsidRPr="005D344F">
        <w:rPr>
          <w:rFonts w:ascii="Arial" w:hAnsi="Arial" w:cs="Arial"/>
          <w:color w:val="212121"/>
          <w:sz w:val="22"/>
          <w:szCs w:val="22"/>
          <w:lang w:val="en"/>
        </w:rPr>
        <w:t>(</w:t>
      </w:r>
      <w:r w:rsidR="00975150">
        <w:rPr>
          <w:rFonts w:ascii="Arial" w:hAnsi="Arial" w:cs="Arial"/>
          <w:color w:val="212121"/>
          <w:sz w:val="22"/>
          <w:szCs w:val="22"/>
          <w:lang w:val="en"/>
        </w:rPr>
        <w:t>CQS/MC</w:t>
      </w:r>
      <w:r w:rsidRPr="005D344F">
        <w:rPr>
          <w:rFonts w:ascii="Arial" w:hAnsi="Arial" w:cs="Arial"/>
          <w:color w:val="212121"/>
          <w:sz w:val="22"/>
          <w:szCs w:val="22"/>
          <w:lang w:val="en"/>
        </w:rPr>
        <w:t xml:space="preserve">) in accordance with the policies and procedures of the IsDB. The selection criteria will be based on </w:t>
      </w:r>
      <w:r w:rsidR="00461F13" w:rsidRPr="005D344F">
        <w:rPr>
          <w:rFonts w:ascii="Arial" w:hAnsi="Arial" w:cs="Arial"/>
          <w:color w:val="212121"/>
          <w:sz w:val="22"/>
          <w:szCs w:val="22"/>
          <w:lang w:val="en"/>
        </w:rPr>
        <w:t xml:space="preserve">3 </w:t>
      </w:r>
      <w:r w:rsidRPr="005D344F">
        <w:rPr>
          <w:rFonts w:ascii="Arial" w:hAnsi="Arial" w:cs="Arial"/>
          <w:color w:val="212121"/>
          <w:sz w:val="22"/>
          <w:szCs w:val="22"/>
          <w:lang w:val="en"/>
        </w:rPr>
        <w:t>factors as follows</w:t>
      </w:r>
      <w:r w:rsidRPr="005D344F">
        <w:rPr>
          <w:rFonts w:ascii="Arial" w:hAnsi="Arial" w:cs="Arial"/>
          <w:sz w:val="22"/>
          <w:szCs w:val="22"/>
        </w:rPr>
        <w:t>:</w:t>
      </w:r>
    </w:p>
    <w:p w14:paraId="7D259FCF" w14:textId="77777777" w:rsidR="00615AFB" w:rsidRPr="005D344F" w:rsidRDefault="00615AFB" w:rsidP="0079627F">
      <w:pPr>
        <w:spacing w:before="240"/>
        <w:rPr>
          <w:rFonts w:ascii="Arial" w:hAnsi="Arial" w:cs="Arial"/>
          <w:sz w:val="22"/>
          <w:szCs w:val="22"/>
        </w:rPr>
      </w:pPr>
      <w:r w:rsidRPr="005D344F">
        <w:rPr>
          <w:rFonts w:ascii="Arial" w:hAnsi="Arial" w:cs="Arial"/>
          <w:sz w:val="22"/>
          <w:szCs w:val="22"/>
        </w:rPr>
        <w:t>(i) Specific experience of the Consultant (as a firm) related to the assignment</w:t>
      </w:r>
    </w:p>
    <w:p w14:paraId="2770CCD3" w14:textId="77777777" w:rsidR="00615AFB" w:rsidRPr="005D344F" w:rsidRDefault="00615AFB" w:rsidP="0079627F">
      <w:pPr>
        <w:spacing w:before="240"/>
        <w:rPr>
          <w:rFonts w:ascii="Arial" w:hAnsi="Arial" w:cs="Arial"/>
          <w:sz w:val="22"/>
          <w:szCs w:val="22"/>
        </w:rPr>
      </w:pPr>
      <w:r w:rsidRPr="005D344F">
        <w:rPr>
          <w:rFonts w:ascii="Arial" w:hAnsi="Arial" w:cs="Arial"/>
          <w:sz w:val="22"/>
          <w:szCs w:val="22"/>
        </w:rPr>
        <w:t>(ii) Adequacy of the proposed work plan and methodology in responding to the Terms of Reference (TOR):</w:t>
      </w:r>
    </w:p>
    <w:p w14:paraId="2D6E819C" w14:textId="2C27DF7F" w:rsidR="00615AFB" w:rsidRPr="005D344F" w:rsidRDefault="00615AFB" w:rsidP="0079627F">
      <w:pPr>
        <w:spacing w:before="240"/>
        <w:rPr>
          <w:rFonts w:ascii="Arial" w:hAnsi="Arial" w:cs="Arial"/>
          <w:sz w:val="22"/>
          <w:szCs w:val="22"/>
        </w:rPr>
      </w:pPr>
      <w:r w:rsidRPr="005D344F">
        <w:rPr>
          <w:rFonts w:ascii="Arial" w:hAnsi="Arial" w:cs="Arial"/>
          <w:sz w:val="22"/>
          <w:szCs w:val="22"/>
        </w:rPr>
        <w:t>(iii) Qualifications and competence of the team (Key Experts) for the project</w:t>
      </w:r>
    </w:p>
    <w:p w14:paraId="40212E08" w14:textId="5B469073" w:rsidR="00683FA4" w:rsidRPr="005D344F" w:rsidRDefault="00683FA4" w:rsidP="005D344F">
      <w:pPr>
        <w:spacing w:before="240"/>
        <w:rPr>
          <w:rFonts w:ascii="Arial" w:hAnsi="Arial" w:cs="Arial"/>
          <w:b/>
          <w:bCs/>
          <w:color w:val="000000"/>
          <w:sz w:val="22"/>
          <w:szCs w:val="22"/>
        </w:rPr>
      </w:pPr>
      <w:r w:rsidRPr="005D344F">
        <w:rPr>
          <w:rFonts w:ascii="Arial" w:hAnsi="Arial" w:cs="Arial"/>
          <w:b/>
          <w:sz w:val="22"/>
          <w:szCs w:val="22"/>
        </w:rPr>
        <w:t>IX.</w:t>
      </w:r>
      <w:r w:rsidRPr="005D344F">
        <w:rPr>
          <w:rFonts w:ascii="Arial" w:hAnsi="Arial" w:cs="Arial"/>
          <w:b/>
          <w:bCs/>
          <w:color w:val="000000"/>
          <w:sz w:val="22"/>
          <w:szCs w:val="22"/>
        </w:rPr>
        <w:t xml:space="preserve"> QUALIFICATION REQUIREMENTS FOR THE EXPERTS</w:t>
      </w:r>
    </w:p>
    <w:p w14:paraId="4B1A23FD" w14:textId="77777777" w:rsidR="00B675C9" w:rsidRPr="005D344F" w:rsidRDefault="00B675C9" w:rsidP="0079627F">
      <w:pPr>
        <w:spacing w:before="240"/>
        <w:rPr>
          <w:rFonts w:ascii="Arial" w:eastAsia="Calibri" w:hAnsi="Arial" w:cs="Arial"/>
          <w:sz w:val="22"/>
          <w:szCs w:val="22"/>
        </w:rPr>
      </w:pPr>
      <w:r w:rsidRPr="005D344F">
        <w:rPr>
          <w:rFonts w:ascii="Arial" w:eastAsia="Calibri" w:hAnsi="Arial" w:cs="Arial"/>
          <w:sz w:val="22"/>
          <w:szCs w:val="22"/>
        </w:rPr>
        <w:t>The consultant should have a team of experts with adequate experience in the above areas, as well as familiarity with the Uzbekistan environment, laws and regulations. The team should have a good understanding of the local culture and traditions, particularly in endowments management.</w:t>
      </w:r>
    </w:p>
    <w:p w14:paraId="69953861" w14:textId="785E0CB3" w:rsidR="00683FA4" w:rsidRPr="005D344F" w:rsidRDefault="00683FA4" w:rsidP="0079627F">
      <w:pPr>
        <w:spacing w:before="240"/>
        <w:rPr>
          <w:rFonts w:ascii="Arial" w:eastAsia="Calibri" w:hAnsi="Arial" w:cs="Arial"/>
          <w:sz w:val="22"/>
          <w:szCs w:val="22"/>
        </w:rPr>
      </w:pPr>
      <w:r w:rsidRPr="005D344F">
        <w:rPr>
          <w:rFonts w:ascii="Arial" w:eastAsia="Calibri" w:hAnsi="Arial" w:cs="Arial"/>
          <w:sz w:val="22"/>
          <w:szCs w:val="22"/>
        </w:rPr>
        <w:t>Overall, the consultant team should have established expertise in the areas of endowments, finance, law, and Islamic studies with significant experience in context, enabling them to provide a comprehensive legal, regulatory and supervisory framework for the establishment and development of Awqaf. It is expected that following experts will be required to perform the assignment, however, the list is the preliminary and the Consultants may propose additional experts as per their experience.</w:t>
      </w:r>
    </w:p>
    <w:p w14:paraId="247B00D5" w14:textId="23D34602" w:rsidR="002B5126" w:rsidRPr="002B5126" w:rsidRDefault="00683FA4" w:rsidP="002B5126">
      <w:pPr>
        <w:spacing w:before="240"/>
        <w:rPr>
          <w:rFonts w:ascii="Arial" w:eastAsia="Calibri" w:hAnsi="Arial" w:cs="Arial"/>
          <w:sz w:val="22"/>
          <w:szCs w:val="22"/>
        </w:rPr>
      </w:pPr>
      <w:r w:rsidRPr="005D344F">
        <w:rPr>
          <w:rFonts w:ascii="Arial" w:eastAsia="Calibri" w:hAnsi="Arial" w:cs="Arial"/>
          <w:sz w:val="22"/>
          <w:szCs w:val="22"/>
        </w:rPr>
        <w:t xml:space="preserve">1. </w:t>
      </w:r>
      <w:r w:rsidR="002B5126" w:rsidRPr="002B5126">
        <w:rPr>
          <w:rFonts w:ascii="Arial" w:eastAsia="Calibri" w:hAnsi="Arial" w:cs="Arial"/>
          <w:b/>
          <w:bCs/>
          <w:sz w:val="22"/>
          <w:szCs w:val="22"/>
        </w:rPr>
        <w:t>Team Leader / Awqaf Expert.</w:t>
      </w:r>
      <w:r w:rsidR="002B5126">
        <w:rPr>
          <w:rFonts w:ascii="Arial" w:eastAsia="Calibri" w:hAnsi="Arial" w:cs="Arial"/>
          <w:b/>
          <w:bCs/>
          <w:sz w:val="22"/>
          <w:szCs w:val="22"/>
        </w:rPr>
        <w:t xml:space="preserve"> </w:t>
      </w:r>
      <w:r w:rsidR="002B5126" w:rsidRPr="002B5126">
        <w:rPr>
          <w:rFonts w:ascii="Arial" w:eastAsia="Calibri" w:hAnsi="Arial" w:cs="Arial"/>
          <w:sz w:val="22"/>
          <w:szCs w:val="22"/>
        </w:rPr>
        <w:t>The</w:t>
      </w:r>
      <w:r w:rsidR="002B5126">
        <w:rPr>
          <w:rFonts w:ascii="Arial" w:eastAsia="Calibri" w:hAnsi="Arial" w:cs="Arial"/>
          <w:b/>
          <w:bCs/>
          <w:sz w:val="22"/>
          <w:szCs w:val="22"/>
        </w:rPr>
        <w:t xml:space="preserve"> </w:t>
      </w:r>
      <w:r w:rsidR="002B5126">
        <w:rPr>
          <w:rFonts w:ascii="Arial" w:eastAsia="Calibri" w:hAnsi="Arial" w:cs="Arial"/>
          <w:sz w:val="22"/>
          <w:szCs w:val="22"/>
        </w:rPr>
        <w:t>expert should have a relevant</w:t>
      </w:r>
      <w:r w:rsidR="002B5126" w:rsidRPr="002B5126">
        <w:rPr>
          <w:rFonts w:ascii="Arial" w:eastAsia="Calibri" w:hAnsi="Arial" w:cs="Arial"/>
          <w:sz w:val="22"/>
          <w:szCs w:val="22"/>
        </w:rPr>
        <w:t xml:space="preserve"> educational background in Islamic Studies, Law, or Finance</w:t>
      </w:r>
      <w:r w:rsidR="002B5126">
        <w:rPr>
          <w:rFonts w:ascii="Arial" w:eastAsia="Calibri" w:hAnsi="Arial" w:cs="Arial"/>
          <w:sz w:val="22"/>
          <w:szCs w:val="22"/>
        </w:rPr>
        <w:t xml:space="preserve">. </w:t>
      </w:r>
      <w:r w:rsidR="002B5126" w:rsidRPr="002B5126">
        <w:rPr>
          <w:rFonts w:ascii="Arial" w:eastAsia="Calibri" w:hAnsi="Arial" w:cs="Arial"/>
          <w:sz w:val="22"/>
          <w:szCs w:val="22"/>
        </w:rPr>
        <w:t>Knowledge of Islamic financial principles and the principles of Waqf (endowment)</w:t>
      </w:r>
      <w:r w:rsidR="002B5126">
        <w:rPr>
          <w:rFonts w:ascii="Arial" w:eastAsia="Calibri" w:hAnsi="Arial" w:cs="Arial"/>
          <w:sz w:val="22"/>
          <w:szCs w:val="22"/>
        </w:rPr>
        <w:t xml:space="preserve">. </w:t>
      </w:r>
      <w:r w:rsidR="002B5126" w:rsidRPr="002B5126">
        <w:rPr>
          <w:rFonts w:ascii="Arial" w:eastAsia="Calibri" w:hAnsi="Arial" w:cs="Arial"/>
          <w:sz w:val="22"/>
          <w:szCs w:val="22"/>
        </w:rPr>
        <w:t>Experience in managing Waqf properties or assets</w:t>
      </w:r>
      <w:r w:rsidR="002B5126">
        <w:rPr>
          <w:rFonts w:ascii="Arial" w:eastAsia="Calibri" w:hAnsi="Arial" w:cs="Arial"/>
          <w:sz w:val="22"/>
          <w:szCs w:val="22"/>
        </w:rPr>
        <w:t xml:space="preserve">, </w:t>
      </w:r>
      <w:r w:rsidR="002B5126" w:rsidRPr="002B5126">
        <w:rPr>
          <w:rFonts w:ascii="Arial" w:eastAsia="Calibri" w:hAnsi="Arial" w:cs="Arial"/>
          <w:sz w:val="22"/>
          <w:szCs w:val="22"/>
        </w:rPr>
        <w:t>legal and regulatory frameworks related to Waqf management</w:t>
      </w:r>
      <w:r w:rsidR="002B5126">
        <w:rPr>
          <w:rFonts w:ascii="Arial" w:eastAsia="Calibri" w:hAnsi="Arial" w:cs="Arial"/>
          <w:sz w:val="22"/>
          <w:szCs w:val="22"/>
        </w:rPr>
        <w:t xml:space="preserve"> is preferred. The expert should have e</w:t>
      </w:r>
      <w:r w:rsidR="002B5126" w:rsidRPr="002B5126">
        <w:rPr>
          <w:rFonts w:ascii="Arial" w:eastAsia="Calibri" w:hAnsi="Arial" w:cs="Arial"/>
          <w:sz w:val="22"/>
          <w:szCs w:val="22"/>
        </w:rPr>
        <w:t>xcellent communication and interpersonal skills</w:t>
      </w:r>
      <w:r w:rsidR="0074436A">
        <w:rPr>
          <w:rFonts w:ascii="Arial" w:eastAsia="Calibri" w:hAnsi="Arial" w:cs="Arial"/>
          <w:sz w:val="22"/>
          <w:szCs w:val="22"/>
        </w:rPr>
        <w:t xml:space="preserve"> with the s</w:t>
      </w:r>
      <w:r w:rsidR="0074436A" w:rsidRPr="0074436A">
        <w:rPr>
          <w:rFonts w:ascii="Arial" w:eastAsia="Calibri" w:hAnsi="Arial" w:cs="Arial"/>
          <w:sz w:val="22"/>
          <w:szCs w:val="22"/>
        </w:rPr>
        <w:t>trong leadership skills and ability to manage a team effectively</w:t>
      </w:r>
      <w:r w:rsidR="002B5126">
        <w:rPr>
          <w:rFonts w:ascii="Arial" w:eastAsia="Calibri" w:hAnsi="Arial" w:cs="Arial"/>
          <w:sz w:val="22"/>
          <w:szCs w:val="22"/>
        </w:rPr>
        <w:t>.</w:t>
      </w:r>
    </w:p>
    <w:p w14:paraId="7825126C" w14:textId="22B1B7AF" w:rsidR="00683FA4" w:rsidRPr="005D344F" w:rsidRDefault="0074436A" w:rsidP="0079627F">
      <w:pPr>
        <w:spacing w:before="240"/>
        <w:rPr>
          <w:rFonts w:ascii="Arial" w:eastAsia="Calibri" w:hAnsi="Arial" w:cs="Arial"/>
          <w:sz w:val="22"/>
          <w:szCs w:val="22"/>
        </w:rPr>
      </w:pPr>
      <w:r w:rsidRPr="0074436A">
        <w:rPr>
          <w:rFonts w:ascii="Arial" w:eastAsia="Calibri" w:hAnsi="Arial" w:cs="Arial"/>
          <w:sz w:val="22"/>
          <w:szCs w:val="22"/>
        </w:rPr>
        <w:t>2.</w:t>
      </w:r>
      <w:r>
        <w:rPr>
          <w:rFonts w:ascii="Arial" w:eastAsia="Calibri" w:hAnsi="Arial" w:cs="Arial"/>
          <w:b/>
          <w:bCs/>
          <w:sz w:val="22"/>
          <w:szCs w:val="22"/>
        </w:rPr>
        <w:t xml:space="preserve"> </w:t>
      </w:r>
      <w:r w:rsidR="00683FA4" w:rsidRPr="005D344F">
        <w:rPr>
          <w:rFonts w:ascii="Arial" w:eastAsia="Calibri" w:hAnsi="Arial" w:cs="Arial"/>
          <w:b/>
          <w:bCs/>
          <w:sz w:val="22"/>
          <w:szCs w:val="22"/>
        </w:rPr>
        <w:t>Legal Expert:</w:t>
      </w:r>
      <w:r w:rsidR="00683FA4" w:rsidRPr="005D344F">
        <w:rPr>
          <w:rFonts w:ascii="Arial" w:eastAsia="Calibri" w:hAnsi="Arial" w:cs="Arial"/>
          <w:sz w:val="22"/>
          <w:szCs w:val="22"/>
        </w:rPr>
        <w:t xml:space="preserve"> This expert should have a degree in law from a recognized university and specialized knowledge in Islamic law, endowments law, and working with Uzbekistan’s legal system is</w:t>
      </w:r>
      <w:r w:rsidR="00B675C9" w:rsidRPr="005D344F">
        <w:rPr>
          <w:rFonts w:ascii="Arial" w:eastAsia="Calibri" w:hAnsi="Arial" w:cs="Arial"/>
          <w:sz w:val="22"/>
          <w:szCs w:val="22"/>
        </w:rPr>
        <w:t xml:space="preserve"> an</w:t>
      </w:r>
      <w:r w:rsidR="00683FA4" w:rsidRPr="005D344F">
        <w:rPr>
          <w:rFonts w:ascii="Arial" w:eastAsia="Calibri" w:hAnsi="Arial" w:cs="Arial"/>
          <w:sz w:val="22"/>
          <w:szCs w:val="22"/>
        </w:rPr>
        <w:t xml:space="preserve"> </w:t>
      </w:r>
      <w:r w:rsidR="00B675C9" w:rsidRPr="005D344F">
        <w:rPr>
          <w:rFonts w:ascii="Arial" w:eastAsia="Calibri" w:hAnsi="Arial" w:cs="Arial"/>
          <w:sz w:val="22"/>
          <w:szCs w:val="22"/>
        </w:rPr>
        <w:t>additional asset</w:t>
      </w:r>
      <w:r w:rsidR="00683FA4" w:rsidRPr="005D344F">
        <w:rPr>
          <w:rFonts w:ascii="Arial" w:eastAsia="Calibri" w:hAnsi="Arial" w:cs="Arial"/>
          <w:sz w:val="22"/>
          <w:szCs w:val="22"/>
        </w:rPr>
        <w:t>. The expert should have experience in drafting legal frameworks, reviewing legislation and ensuring compliance with international standards.</w:t>
      </w:r>
    </w:p>
    <w:p w14:paraId="674B3B25" w14:textId="3DB0821B" w:rsidR="00683FA4" w:rsidRPr="005D344F" w:rsidRDefault="0074436A" w:rsidP="0079627F">
      <w:pPr>
        <w:spacing w:before="240"/>
        <w:rPr>
          <w:rFonts w:ascii="Arial" w:eastAsia="Calibri" w:hAnsi="Arial" w:cs="Arial"/>
          <w:sz w:val="22"/>
          <w:szCs w:val="22"/>
        </w:rPr>
      </w:pPr>
      <w:r>
        <w:rPr>
          <w:rFonts w:ascii="Arial" w:eastAsia="Calibri" w:hAnsi="Arial" w:cs="Arial"/>
          <w:sz w:val="22"/>
          <w:szCs w:val="22"/>
        </w:rPr>
        <w:lastRenderedPageBreak/>
        <w:t>3</w:t>
      </w:r>
      <w:r w:rsidR="00683FA4" w:rsidRPr="005D344F">
        <w:rPr>
          <w:rFonts w:ascii="Arial" w:eastAsia="Calibri" w:hAnsi="Arial" w:cs="Arial"/>
          <w:sz w:val="22"/>
          <w:szCs w:val="22"/>
        </w:rPr>
        <w:t xml:space="preserve">. </w:t>
      </w:r>
      <w:r w:rsidR="00B675C9" w:rsidRPr="005D344F">
        <w:rPr>
          <w:rFonts w:ascii="Arial" w:eastAsia="Calibri" w:hAnsi="Arial" w:cs="Arial"/>
          <w:b/>
          <w:bCs/>
          <w:sz w:val="22"/>
          <w:szCs w:val="22"/>
        </w:rPr>
        <w:t>Islamic</w:t>
      </w:r>
      <w:r w:rsidR="00B675C9" w:rsidRPr="005D344F">
        <w:rPr>
          <w:rFonts w:ascii="Arial" w:eastAsia="Calibri" w:hAnsi="Arial" w:cs="Arial"/>
          <w:sz w:val="22"/>
          <w:szCs w:val="22"/>
        </w:rPr>
        <w:t xml:space="preserve"> </w:t>
      </w:r>
      <w:r w:rsidR="00683FA4" w:rsidRPr="005D344F">
        <w:rPr>
          <w:rFonts w:ascii="Arial" w:eastAsia="Calibri" w:hAnsi="Arial" w:cs="Arial"/>
          <w:b/>
          <w:bCs/>
          <w:sz w:val="22"/>
          <w:szCs w:val="22"/>
        </w:rPr>
        <w:t>Financial Expert:</w:t>
      </w:r>
      <w:r w:rsidR="00683FA4" w:rsidRPr="005D344F">
        <w:rPr>
          <w:rFonts w:ascii="Arial" w:eastAsia="Calibri" w:hAnsi="Arial" w:cs="Arial"/>
          <w:sz w:val="22"/>
          <w:szCs w:val="22"/>
        </w:rPr>
        <w:t xml:space="preserve"> A financial expert with experience in endowments, investment strategies, and Islamic finance may be required. The expert should possess a degree in finance, economics, or a related field from a recognized university and have experience in developing investment policies, analyzing financial statements, and identifying viable investment opportunities.</w:t>
      </w:r>
    </w:p>
    <w:p w14:paraId="5824E024" w14:textId="2F0ADE29" w:rsidR="00683FA4" w:rsidRPr="005D344F" w:rsidRDefault="0074436A" w:rsidP="0079627F">
      <w:pPr>
        <w:spacing w:before="240"/>
        <w:rPr>
          <w:rFonts w:ascii="Arial" w:eastAsia="Calibri" w:hAnsi="Arial" w:cs="Arial"/>
          <w:sz w:val="22"/>
          <w:szCs w:val="22"/>
        </w:rPr>
      </w:pPr>
      <w:r>
        <w:rPr>
          <w:rFonts w:ascii="Arial" w:eastAsia="Calibri" w:hAnsi="Arial" w:cs="Arial"/>
          <w:sz w:val="22"/>
          <w:szCs w:val="22"/>
        </w:rPr>
        <w:t>4</w:t>
      </w:r>
      <w:r w:rsidR="00683FA4" w:rsidRPr="005D344F">
        <w:rPr>
          <w:rFonts w:ascii="Arial" w:eastAsia="Calibri" w:hAnsi="Arial" w:cs="Arial"/>
          <w:sz w:val="22"/>
          <w:szCs w:val="22"/>
        </w:rPr>
        <w:t xml:space="preserve">. </w:t>
      </w:r>
      <w:r w:rsidR="00683FA4" w:rsidRPr="005D344F">
        <w:rPr>
          <w:rFonts w:ascii="Arial" w:eastAsia="Calibri" w:hAnsi="Arial" w:cs="Arial"/>
          <w:b/>
          <w:bCs/>
          <w:sz w:val="22"/>
          <w:szCs w:val="22"/>
        </w:rPr>
        <w:t>Islamic Scholar:</w:t>
      </w:r>
      <w:r w:rsidR="00683FA4" w:rsidRPr="005D344F">
        <w:rPr>
          <w:rFonts w:ascii="Arial" w:eastAsia="Calibri" w:hAnsi="Arial" w:cs="Arial"/>
          <w:sz w:val="22"/>
          <w:szCs w:val="22"/>
        </w:rPr>
        <w:t xml:space="preserve"> An Islamic scholar with in-depth knowledge of Islamic law and endowment management may be required. The scholar should possess a degree in Islamic studies or Shariah from a recognized university and have appropriate experience in Islamic finance and endowment management.</w:t>
      </w:r>
    </w:p>
    <w:p w14:paraId="383262AF" w14:textId="57FB4B72" w:rsidR="00683FA4" w:rsidRPr="005D344F" w:rsidRDefault="0074436A" w:rsidP="0079627F">
      <w:pPr>
        <w:spacing w:before="240"/>
        <w:rPr>
          <w:rFonts w:ascii="Arial" w:eastAsia="Calibri" w:hAnsi="Arial" w:cs="Arial"/>
          <w:sz w:val="22"/>
          <w:szCs w:val="22"/>
        </w:rPr>
      </w:pPr>
      <w:r>
        <w:rPr>
          <w:rFonts w:ascii="Arial" w:eastAsia="Calibri" w:hAnsi="Arial" w:cs="Arial"/>
          <w:sz w:val="22"/>
          <w:szCs w:val="22"/>
        </w:rPr>
        <w:t>5</w:t>
      </w:r>
      <w:r w:rsidR="00683FA4" w:rsidRPr="005D344F">
        <w:rPr>
          <w:rFonts w:ascii="Arial" w:eastAsia="Calibri" w:hAnsi="Arial" w:cs="Arial"/>
          <w:sz w:val="22"/>
          <w:szCs w:val="22"/>
        </w:rPr>
        <w:t xml:space="preserve">. </w:t>
      </w:r>
      <w:r w:rsidR="00683FA4" w:rsidRPr="005D344F">
        <w:rPr>
          <w:rFonts w:ascii="Arial" w:eastAsia="Calibri" w:hAnsi="Arial" w:cs="Arial"/>
          <w:b/>
          <w:bCs/>
          <w:sz w:val="22"/>
          <w:szCs w:val="22"/>
        </w:rPr>
        <w:t>Technical Expert:</w:t>
      </w:r>
      <w:r w:rsidR="00683FA4" w:rsidRPr="005D344F">
        <w:rPr>
          <w:rFonts w:ascii="Arial" w:eastAsia="Calibri" w:hAnsi="Arial" w:cs="Arial"/>
          <w:sz w:val="22"/>
          <w:szCs w:val="22"/>
        </w:rPr>
        <w:t xml:space="preserve"> A technical expert with experience in IT systems and software development may be required to advise on the development of an electronic platform to manage endowments registration and reporting.</w:t>
      </w:r>
    </w:p>
    <w:p w14:paraId="5ABACA7F" w14:textId="478617B3" w:rsidR="004D58EF" w:rsidRPr="005D344F" w:rsidRDefault="00555A7D" w:rsidP="005D344F">
      <w:pPr>
        <w:spacing w:before="240" w:line="259" w:lineRule="auto"/>
        <w:rPr>
          <w:rFonts w:ascii="Arial" w:eastAsia="Calibri" w:hAnsi="Arial" w:cs="Arial"/>
          <w:sz w:val="22"/>
          <w:szCs w:val="22"/>
        </w:rPr>
      </w:pPr>
      <w:r w:rsidRPr="005D344F">
        <w:rPr>
          <w:rFonts w:ascii="Arial" w:eastAsia="Calibri" w:hAnsi="Arial" w:cs="Arial"/>
          <w:sz w:val="22"/>
          <w:szCs w:val="22"/>
        </w:rPr>
        <w:t xml:space="preserve">The consultant is expected to have fully read and understood </w:t>
      </w:r>
      <w:r w:rsidRPr="005D344F">
        <w:rPr>
          <w:rFonts w:ascii="Arial" w:eastAsia="Calibri" w:hAnsi="Arial" w:cs="Arial"/>
          <w:b/>
          <w:bCs/>
          <w:sz w:val="22"/>
          <w:szCs w:val="22"/>
          <w:u w:val="single"/>
        </w:rPr>
        <w:t>ALL sections</w:t>
      </w:r>
      <w:r w:rsidRPr="005D344F">
        <w:rPr>
          <w:rFonts w:ascii="Arial" w:eastAsia="Calibri" w:hAnsi="Arial" w:cs="Arial"/>
          <w:sz w:val="22"/>
          <w:szCs w:val="22"/>
        </w:rPr>
        <w:t xml:space="preserve"> of this ToR document to comprehend the expectations of the hiring department from this project.</w:t>
      </w:r>
      <w:bookmarkStart w:id="4" w:name="_Toc5789664"/>
      <w:bookmarkStart w:id="5" w:name="_Toc54220342"/>
      <w:bookmarkEnd w:id="4"/>
      <w:bookmarkEnd w:id="5"/>
    </w:p>
    <w:sectPr w:rsidR="004D58EF" w:rsidRPr="005D344F" w:rsidSect="00DC4648">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BC37C2" w14:textId="77777777" w:rsidR="00092B9E" w:rsidRDefault="00092B9E" w:rsidP="00D63645">
      <w:r>
        <w:separator/>
      </w:r>
    </w:p>
  </w:endnote>
  <w:endnote w:type="continuationSeparator" w:id="0">
    <w:p w14:paraId="291215E6" w14:textId="77777777" w:rsidR="00092B9E" w:rsidRDefault="00092B9E" w:rsidP="00D63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Roboto Light">
    <w:altName w:val="Arial"/>
    <w:charset w:val="00"/>
    <w:family w:val="auto"/>
    <w:pitch w:val="variable"/>
    <w:sig w:usb0="00000001" w:usb1="5000205B" w:usb2="0000002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E0002AE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4BDD57" w14:textId="77777777" w:rsidR="00092B9E" w:rsidRDefault="00092B9E" w:rsidP="00D63645">
      <w:r>
        <w:separator/>
      </w:r>
    </w:p>
  </w:footnote>
  <w:footnote w:type="continuationSeparator" w:id="0">
    <w:p w14:paraId="4E7CE346" w14:textId="77777777" w:rsidR="00092B9E" w:rsidRDefault="00092B9E" w:rsidP="00D636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EFFE8" w14:textId="61AA7857" w:rsidR="00207BB3" w:rsidRPr="00D40A81" w:rsidRDefault="00207BB3" w:rsidP="00D40A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47C9D"/>
    <w:multiLevelType w:val="hybridMultilevel"/>
    <w:tmpl w:val="DBD07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970D35"/>
    <w:multiLevelType w:val="multilevel"/>
    <w:tmpl w:val="D506FD2C"/>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C1214BE"/>
    <w:multiLevelType w:val="multilevel"/>
    <w:tmpl w:val="38381234"/>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D77039C"/>
    <w:multiLevelType w:val="multilevel"/>
    <w:tmpl w:val="AFB095D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3C1E15"/>
    <w:multiLevelType w:val="multilevel"/>
    <w:tmpl w:val="6D6AD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775366"/>
    <w:multiLevelType w:val="multilevel"/>
    <w:tmpl w:val="8C623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F67AEA"/>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319439E6"/>
    <w:multiLevelType w:val="multilevel"/>
    <w:tmpl w:val="A608210E"/>
    <w:lvl w:ilvl="0">
      <w:start w:val="1"/>
      <w:numFmt w:val="none"/>
      <w:pStyle w:val="Heading1a"/>
      <w:suff w:val="nothing"/>
      <w:lvlText w:val="%1"/>
      <w:lvlJc w:val="left"/>
      <w:pPr>
        <w:ind w:left="0" w:firstLine="0"/>
      </w:pPr>
      <w:rPr>
        <w:rFonts w:hint="default"/>
      </w:rPr>
    </w:lvl>
    <w:lvl w:ilvl="1">
      <w:start w:val="1"/>
      <w:numFmt w:val="decimal"/>
      <w:pStyle w:val="MainParanoChapter"/>
      <w:lvlText w:val="%2."/>
      <w:lvlJc w:val="left"/>
      <w:pPr>
        <w:tabs>
          <w:tab w:val="num" w:pos="720"/>
        </w:tabs>
        <w:ind w:left="720" w:hanging="720"/>
      </w:pPr>
      <w:rPr>
        <w:rFonts w:hint="default"/>
        <w:b w:val="0"/>
        <w:bCs w:val="0"/>
      </w:rPr>
    </w:lvl>
    <w:lvl w:ilvl="2">
      <w:start w:val="1"/>
      <w:numFmt w:val="none"/>
      <w:lvlText w:val=" (a)"/>
      <w:lvlJc w:val="left"/>
      <w:pPr>
        <w:tabs>
          <w:tab w:val="num" w:pos="720"/>
        </w:tabs>
        <w:ind w:left="720" w:hanging="720"/>
      </w:pPr>
      <w:rPr>
        <w:rFonts w:hint="default"/>
      </w:rPr>
    </w:lvl>
    <w:lvl w:ilvl="3">
      <w:start w:val="1"/>
      <w:numFmt w:val="lowerRoman"/>
      <w:pStyle w:val="Sub-Para2underX"/>
      <w:lvlText w:val="%4)"/>
      <w:lvlJc w:val="left"/>
      <w:pPr>
        <w:tabs>
          <w:tab w:val="num" w:pos="1800"/>
        </w:tabs>
        <w:ind w:left="1080" w:hanging="360"/>
      </w:pPr>
      <w:rPr>
        <w:rFonts w:ascii="Roboto Light" w:eastAsia="Times New Roman" w:hAnsi="Roboto Light" w:cstheme="majorBidi"/>
      </w:rPr>
    </w:lvl>
    <w:lvl w:ilvl="4">
      <w:start w:val="1"/>
      <w:numFmt w:val="lowerLetter"/>
      <w:pStyle w:val="Sub-Para3underX"/>
      <w:lvlText w:val="%5."/>
      <w:lvlJc w:val="left"/>
      <w:pPr>
        <w:tabs>
          <w:tab w:val="num" w:pos="1440"/>
        </w:tabs>
        <w:ind w:left="1440" w:hanging="360"/>
      </w:pPr>
      <w:rPr>
        <w:rFonts w:hint="default"/>
      </w:rPr>
    </w:lvl>
    <w:lvl w:ilvl="5">
      <w:start w:val="1"/>
      <w:numFmt w:val="lowerRoman"/>
      <w:pStyle w:val="Sub-Para4underX"/>
      <w:lvlText w:val="%6."/>
      <w:lvlJc w:val="left"/>
      <w:pPr>
        <w:tabs>
          <w:tab w:val="num" w:pos="2160"/>
        </w:tabs>
        <w:ind w:left="180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36F809EB"/>
    <w:multiLevelType w:val="hybridMultilevel"/>
    <w:tmpl w:val="3D1CE2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8A6853"/>
    <w:multiLevelType w:val="hybridMultilevel"/>
    <w:tmpl w:val="7FB01A2E"/>
    <w:lvl w:ilvl="0" w:tplc="C8BE9966">
      <w:start w:val="1"/>
      <w:numFmt w:val="decimal"/>
      <w:lvlText w:val="%1."/>
      <w:lvlJc w:val="left"/>
      <w:pPr>
        <w:ind w:left="720" w:hanging="360"/>
      </w:pPr>
      <w:rPr>
        <w:rFonts w:ascii="Roboto Light" w:hAnsi="Roboto Light"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39692660"/>
    <w:multiLevelType w:val="multilevel"/>
    <w:tmpl w:val="09C428AE"/>
    <w:lvl w:ilvl="0">
      <w:start w:val="1"/>
      <w:numFmt w:val="decimal"/>
      <w:pStyle w:val="Clauses"/>
      <w:lvlText w:val="%1."/>
      <w:lvlJc w:val="left"/>
      <w:pPr>
        <w:tabs>
          <w:tab w:val="num" w:pos="431"/>
        </w:tabs>
        <w:ind w:left="431" w:hanging="431"/>
      </w:pPr>
      <w:rPr>
        <w:rFonts w:cs="Times New Roman"/>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rFonts w:cs="Times New Roman"/>
        <w:b w:val="0"/>
        <w:i w:val="0"/>
      </w:rPr>
    </w:lvl>
    <w:lvl w:ilvl="3">
      <w:start w:val="1"/>
      <w:numFmt w:val="lowerRoman"/>
      <w:lvlText w:val="(%4)"/>
      <w:lvlJc w:val="left"/>
      <w:pPr>
        <w:tabs>
          <w:tab w:val="num" w:pos="2498"/>
        </w:tabs>
        <w:ind w:left="1843" w:hanging="425"/>
      </w:pPr>
      <w:rPr>
        <w:rFonts w:cs="Times New Roman"/>
      </w:rPr>
    </w:lvl>
    <w:lvl w:ilvl="4">
      <w:start w:val="1"/>
      <w:numFmt w:val="decimal"/>
      <w:lvlText w:val=".%5"/>
      <w:lvlJc w:val="left"/>
      <w:pPr>
        <w:tabs>
          <w:tab w:val="num" w:pos="0"/>
        </w:tabs>
      </w:pPr>
      <w:rPr>
        <w:rFonts w:cs="Times New Roman"/>
      </w:rPr>
    </w:lvl>
    <w:lvl w:ilvl="5">
      <w:start w:val="1"/>
      <w:numFmt w:val="decimal"/>
      <w:lvlText w:val=".%5.%6"/>
      <w:lvlJc w:val="left"/>
      <w:pPr>
        <w:tabs>
          <w:tab w:val="num" w:pos="0"/>
        </w:tabs>
      </w:pPr>
      <w:rPr>
        <w:rFonts w:cs="Times New Roman"/>
      </w:rPr>
    </w:lvl>
    <w:lvl w:ilvl="6">
      <w:start w:val="1"/>
      <w:numFmt w:val="decimal"/>
      <w:lvlText w:val=".%5.%6.%7"/>
      <w:lvlJc w:val="left"/>
      <w:pPr>
        <w:tabs>
          <w:tab w:val="num" w:pos="0"/>
        </w:tabs>
      </w:pPr>
      <w:rPr>
        <w:rFonts w:cs="Times New Roman"/>
      </w:rPr>
    </w:lvl>
    <w:lvl w:ilvl="7">
      <w:start w:val="1"/>
      <w:numFmt w:val="decimal"/>
      <w:lvlText w:val=".%5.%6.%7.%8"/>
      <w:lvlJc w:val="left"/>
      <w:pPr>
        <w:tabs>
          <w:tab w:val="num" w:pos="0"/>
        </w:tabs>
      </w:pPr>
      <w:rPr>
        <w:rFonts w:cs="Times New Roman"/>
      </w:rPr>
    </w:lvl>
    <w:lvl w:ilvl="8">
      <w:start w:val="1"/>
      <w:numFmt w:val="decimal"/>
      <w:lvlText w:val=".%5.%6.%7.%8.%9"/>
      <w:lvlJc w:val="left"/>
      <w:pPr>
        <w:tabs>
          <w:tab w:val="num" w:pos="0"/>
        </w:tabs>
        <w:ind w:left="4392" w:hanging="1584"/>
      </w:pPr>
      <w:rPr>
        <w:rFonts w:cs="Times New Roman"/>
      </w:rPr>
    </w:lvl>
  </w:abstractNum>
  <w:abstractNum w:abstractNumId="11" w15:restartNumberingAfterBreak="0">
    <w:nsid w:val="3D024277"/>
    <w:multiLevelType w:val="hybridMultilevel"/>
    <w:tmpl w:val="26423D9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AE7781"/>
    <w:multiLevelType w:val="multilevel"/>
    <w:tmpl w:val="AF62F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0A11D6"/>
    <w:multiLevelType w:val="multilevel"/>
    <w:tmpl w:val="DB84D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DD70BF"/>
    <w:multiLevelType w:val="multilevel"/>
    <w:tmpl w:val="D16479FA"/>
    <w:lvl w:ilvl="0">
      <w:start w:val="1"/>
      <w:numFmt w:val="upperRoman"/>
      <w:pStyle w:val="Outline1"/>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5" w15:restartNumberingAfterBreak="0">
    <w:nsid w:val="42B2775C"/>
    <w:multiLevelType w:val="hybridMultilevel"/>
    <w:tmpl w:val="9A74C96A"/>
    <w:lvl w:ilvl="0" w:tplc="8F38C996">
      <w:start w:val="1"/>
      <w:numFmt w:val="lowerLetter"/>
      <w:lvlText w:val="(%1)"/>
      <w:lvlJc w:val="left"/>
      <w:pPr>
        <w:ind w:left="1170" w:hanging="360"/>
      </w:pPr>
      <w:rPr>
        <w:rFonts w:ascii="Roboto Light" w:hAnsi="Roboto Light"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A069E6"/>
    <w:multiLevelType w:val="hybridMultilevel"/>
    <w:tmpl w:val="828E2B4A"/>
    <w:lvl w:ilvl="0" w:tplc="0E52E57E">
      <w:start w:val="1"/>
      <w:numFmt w:val="lowerRoman"/>
      <w:lvlText w:val="%1)"/>
      <w:lvlJc w:val="left"/>
      <w:pPr>
        <w:ind w:left="720" w:hanging="360"/>
      </w:pPr>
      <w:rPr>
        <w:rFonts w:ascii="Roboto Light" w:eastAsia="Times New Roman" w:hAnsi="Roboto Light" w:cs="Times New Roman"/>
        <w:b w:val="0"/>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46AE3A7C"/>
    <w:multiLevelType w:val="multilevel"/>
    <w:tmpl w:val="E6EC943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E633D75"/>
    <w:multiLevelType w:val="hybridMultilevel"/>
    <w:tmpl w:val="CEC4B8DA"/>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19" w15:restartNumberingAfterBreak="0">
    <w:nsid w:val="602C4024"/>
    <w:multiLevelType w:val="hybridMultilevel"/>
    <w:tmpl w:val="E5BE3E3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1F07027"/>
    <w:multiLevelType w:val="multilevel"/>
    <w:tmpl w:val="B12C5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48B7FAB"/>
    <w:multiLevelType w:val="multilevel"/>
    <w:tmpl w:val="11B6F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CB402E6"/>
    <w:multiLevelType w:val="hybridMultilevel"/>
    <w:tmpl w:val="9DA8CD3A"/>
    <w:lvl w:ilvl="0" w:tplc="04090017">
      <w:start w:val="1"/>
      <w:numFmt w:val="lowerLetter"/>
      <w:lvlText w:val="%1)"/>
      <w:lvlJc w:val="left"/>
      <w:pPr>
        <w:ind w:left="720" w:hanging="360"/>
      </w:pPr>
    </w:lvl>
    <w:lvl w:ilvl="1" w:tplc="CD2EFC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FE27C5"/>
    <w:multiLevelType w:val="hybridMultilevel"/>
    <w:tmpl w:val="F084983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4" w15:restartNumberingAfterBreak="0">
    <w:nsid w:val="6DE95805"/>
    <w:multiLevelType w:val="multilevel"/>
    <w:tmpl w:val="11E6E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1A109F3"/>
    <w:multiLevelType w:val="multilevel"/>
    <w:tmpl w:val="9E8CF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4ED6FDE"/>
    <w:multiLevelType w:val="multilevel"/>
    <w:tmpl w:val="BA2A5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97D0E3C"/>
    <w:multiLevelType w:val="hybridMultilevel"/>
    <w:tmpl w:val="A7F0273C"/>
    <w:lvl w:ilvl="0" w:tplc="A976A5B8">
      <w:start w:val="1"/>
      <w:numFmt w:val="lowerLetter"/>
      <w:pStyle w:val="Sub-Para1underXY"/>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9CC5B78"/>
    <w:multiLevelType w:val="hybridMultilevel"/>
    <w:tmpl w:val="C994BAEA"/>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9" w15:restartNumberingAfterBreak="0">
    <w:nsid w:val="7EBE2091"/>
    <w:multiLevelType w:val="hybridMultilevel"/>
    <w:tmpl w:val="2B0A7CFC"/>
    <w:lvl w:ilvl="0" w:tplc="BE7889F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7F315BF6"/>
    <w:multiLevelType w:val="hybridMultilevel"/>
    <w:tmpl w:val="4FC494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7"/>
  </w:num>
  <w:num w:numId="4">
    <w:abstractNumId w:val="14"/>
  </w:num>
  <w:num w:numId="5">
    <w:abstractNumId w:val="17"/>
  </w:num>
  <w:num w:numId="6">
    <w:abstractNumId w:val="18"/>
  </w:num>
  <w:num w:numId="7">
    <w:abstractNumId w:val="10"/>
  </w:num>
  <w:num w:numId="8">
    <w:abstractNumId w:val="2"/>
  </w:num>
  <w:num w:numId="9">
    <w:abstractNumId w:val="15"/>
  </w:num>
  <w:num w:numId="10">
    <w:abstractNumId w:val="16"/>
  </w:num>
  <w:num w:numId="11">
    <w:abstractNumId w:val="22"/>
  </w:num>
  <w:num w:numId="12">
    <w:abstractNumId w:val="19"/>
  </w:num>
  <w:num w:numId="13">
    <w:abstractNumId w:val="28"/>
  </w:num>
  <w:num w:numId="14">
    <w:abstractNumId w:val="9"/>
  </w:num>
  <w:num w:numId="15">
    <w:abstractNumId w:val="29"/>
  </w:num>
  <w:num w:numId="16">
    <w:abstractNumId w:val="6"/>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30"/>
  </w:num>
  <w:num w:numId="20">
    <w:abstractNumId w:val="0"/>
  </w:num>
  <w:num w:numId="21">
    <w:abstractNumId w:val="23"/>
  </w:num>
  <w:num w:numId="22">
    <w:abstractNumId w:val="20"/>
  </w:num>
  <w:num w:numId="23">
    <w:abstractNumId w:val="4"/>
  </w:num>
  <w:num w:numId="24">
    <w:abstractNumId w:val="24"/>
  </w:num>
  <w:num w:numId="25">
    <w:abstractNumId w:val="26"/>
  </w:num>
  <w:num w:numId="26">
    <w:abstractNumId w:val="5"/>
  </w:num>
  <w:num w:numId="27">
    <w:abstractNumId w:val="3"/>
  </w:num>
  <w:num w:numId="28">
    <w:abstractNumId w:val="12"/>
  </w:num>
  <w:num w:numId="29">
    <w:abstractNumId w:val="13"/>
  </w:num>
  <w:num w:numId="30">
    <w:abstractNumId w:val="21"/>
  </w:num>
  <w:num w:numId="31">
    <w:abstractNumId w:val="25"/>
  </w:num>
  <w:num w:numId="32">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645"/>
    <w:rsid w:val="00003693"/>
    <w:rsid w:val="00005F1F"/>
    <w:rsid w:val="0000702F"/>
    <w:rsid w:val="00010265"/>
    <w:rsid w:val="00012633"/>
    <w:rsid w:val="000127F0"/>
    <w:rsid w:val="00015DC8"/>
    <w:rsid w:val="00016034"/>
    <w:rsid w:val="00026D4E"/>
    <w:rsid w:val="00032F5F"/>
    <w:rsid w:val="000335BB"/>
    <w:rsid w:val="000378F5"/>
    <w:rsid w:val="0004207E"/>
    <w:rsid w:val="00042D4D"/>
    <w:rsid w:val="00044653"/>
    <w:rsid w:val="00045FD1"/>
    <w:rsid w:val="00046E37"/>
    <w:rsid w:val="000605C6"/>
    <w:rsid w:val="00060785"/>
    <w:rsid w:val="000642A8"/>
    <w:rsid w:val="000704D4"/>
    <w:rsid w:val="00072A0D"/>
    <w:rsid w:val="00072B87"/>
    <w:rsid w:val="00072B94"/>
    <w:rsid w:val="000808C4"/>
    <w:rsid w:val="00081B26"/>
    <w:rsid w:val="000829F3"/>
    <w:rsid w:val="00082EE5"/>
    <w:rsid w:val="00083BBC"/>
    <w:rsid w:val="00083CF1"/>
    <w:rsid w:val="00084B4B"/>
    <w:rsid w:val="000868CF"/>
    <w:rsid w:val="00086EE5"/>
    <w:rsid w:val="000907B2"/>
    <w:rsid w:val="0009232C"/>
    <w:rsid w:val="00092AA9"/>
    <w:rsid w:val="00092B9E"/>
    <w:rsid w:val="000963EF"/>
    <w:rsid w:val="000A7E13"/>
    <w:rsid w:val="000B07EE"/>
    <w:rsid w:val="000B227E"/>
    <w:rsid w:val="000B2972"/>
    <w:rsid w:val="000C6A4F"/>
    <w:rsid w:val="000C76CB"/>
    <w:rsid w:val="000D1AAA"/>
    <w:rsid w:val="000D2264"/>
    <w:rsid w:val="000D41AB"/>
    <w:rsid w:val="000D6C6B"/>
    <w:rsid w:val="000E044D"/>
    <w:rsid w:val="000E065B"/>
    <w:rsid w:val="000E17F4"/>
    <w:rsid w:val="000E2591"/>
    <w:rsid w:val="000E26C6"/>
    <w:rsid w:val="000E37C8"/>
    <w:rsid w:val="00101B7F"/>
    <w:rsid w:val="0010200D"/>
    <w:rsid w:val="00103D4E"/>
    <w:rsid w:val="00103DFC"/>
    <w:rsid w:val="00106A0C"/>
    <w:rsid w:val="00107663"/>
    <w:rsid w:val="001126DA"/>
    <w:rsid w:val="00112F5E"/>
    <w:rsid w:val="00116350"/>
    <w:rsid w:val="001170D6"/>
    <w:rsid w:val="00117D32"/>
    <w:rsid w:val="00123A82"/>
    <w:rsid w:val="00127C1F"/>
    <w:rsid w:val="00133227"/>
    <w:rsid w:val="001338C1"/>
    <w:rsid w:val="00133947"/>
    <w:rsid w:val="00134E10"/>
    <w:rsid w:val="00141970"/>
    <w:rsid w:val="00142BC5"/>
    <w:rsid w:val="00151DE5"/>
    <w:rsid w:val="001529A3"/>
    <w:rsid w:val="00152B1B"/>
    <w:rsid w:val="0015529E"/>
    <w:rsid w:val="00160590"/>
    <w:rsid w:val="00166614"/>
    <w:rsid w:val="001708C9"/>
    <w:rsid w:val="00170FBA"/>
    <w:rsid w:val="001722FA"/>
    <w:rsid w:val="001724F8"/>
    <w:rsid w:val="001828C9"/>
    <w:rsid w:val="00184F62"/>
    <w:rsid w:val="00187FBA"/>
    <w:rsid w:val="00194E6B"/>
    <w:rsid w:val="001A5564"/>
    <w:rsid w:val="001A6B0F"/>
    <w:rsid w:val="001B5C9F"/>
    <w:rsid w:val="001B619F"/>
    <w:rsid w:val="001B78CF"/>
    <w:rsid w:val="001C0460"/>
    <w:rsid w:val="001C1B0D"/>
    <w:rsid w:val="001C2CA3"/>
    <w:rsid w:val="001C4F8D"/>
    <w:rsid w:val="001C5837"/>
    <w:rsid w:val="001C5D87"/>
    <w:rsid w:val="001D11BA"/>
    <w:rsid w:val="001E0FB6"/>
    <w:rsid w:val="001E1DB6"/>
    <w:rsid w:val="001E24A6"/>
    <w:rsid w:val="001E498B"/>
    <w:rsid w:val="001E4B88"/>
    <w:rsid w:val="001E5833"/>
    <w:rsid w:val="001E7D4C"/>
    <w:rsid w:val="001F10D6"/>
    <w:rsid w:val="00206836"/>
    <w:rsid w:val="00207BB3"/>
    <w:rsid w:val="00210080"/>
    <w:rsid w:val="00210927"/>
    <w:rsid w:val="00211AD9"/>
    <w:rsid w:val="00215323"/>
    <w:rsid w:val="00215F9E"/>
    <w:rsid w:val="00216050"/>
    <w:rsid w:val="00217E9B"/>
    <w:rsid w:val="00220342"/>
    <w:rsid w:val="0022177B"/>
    <w:rsid w:val="00221D96"/>
    <w:rsid w:val="0022522F"/>
    <w:rsid w:val="002256A3"/>
    <w:rsid w:val="00225B65"/>
    <w:rsid w:val="00225F20"/>
    <w:rsid w:val="002264E5"/>
    <w:rsid w:val="00231AF1"/>
    <w:rsid w:val="00246523"/>
    <w:rsid w:val="00246975"/>
    <w:rsid w:val="00246BD4"/>
    <w:rsid w:val="0025096E"/>
    <w:rsid w:val="002547DD"/>
    <w:rsid w:val="00255828"/>
    <w:rsid w:val="002562B0"/>
    <w:rsid w:val="00264260"/>
    <w:rsid w:val="00270068"/>
    <w:rsid w:val="00270D96"/>
    <w:rsid w:val="00274203"/>
    <w:rsid w:val="00280BC2"/>
    <w:rsid w:val="00282BD4"/>
    <w:rsid w:val="00285E5A"/>
    <w:rsid w:val="0029233C"/>
    <w:rsid w:val="00297124"/>
    <w:rsid w:val="00297FEF"/>
    <w:rsid w:val="002A2ACC"/>
    <w:rsid w:val="002B05C9"/>
    <w:rsid w:val="002B1385"/>
    <w:rsid w:val="002B28DA"/>
    <w:rsid w:val="002B5126"/>
    <w:rsid w:val="002C3ED6"/>
    <w:rsid w:val="002C4CF5"/>
    <w:rsid w:val="002C5B1A"/>
    <w:rsid w:val="002C69CA"/>
    <w:rsid w:val="002D04D1"/>
    <w:rsid w:val="002D6B10"/>
    <w:rsid w:val="002D6DC7"/>
    <w:rsid w:val="002D79D8"/>
    <w:rsid w:val="002E3168"/>
    <w:rsid w:val="002F319C"/>
    <w:rsid w:val="002F3235"/>
    <w:rsid w:val="002F59D7"/>
    <w:rsid w:val="002F5ED9"/>
    <w:rsid w:val="002F799E"/>
    <w:rsid w:val="002F7F9C"/>
    <w:rsid w:val="003019D2"/>
    <w:rsid w:val="003023C1"/>
    <w:rsid w:val="00304EB6"/>
    <w:rsid w:val="00304EFB"/>
    <w:rsid w:val="00306ED6"/>
    <w:rsid w:val="0031410C"/>
    <w:rsid w:val="0031457F"/>
    <w:rsid w:val="0032500A"/>
    <w:rsid w:val="00327C37"/>
    <w:rsid w:val="0033155B"/>
    <w:rsid w:val="00334DC4"/>
    <w:rsid w:val="0034138F"/>
    <w:rsid w:val="00341C4A"/>
    <w:rsid w:val="003422CF"/>
    <w:rsid w:val="003429D6"/>
    <w:rsid w:val="00346D72"/>
    <w:rsid w:val="003515F1"/>
    <w:rsid w:val="00351C20"/>
    <w:rsid w:val="00351E54"/>
    <w:rsid w:val="00355492"/>
    <w:rsid w:val="00356BAD"/>
    <w:rsid w:val="003601AF"/>
    <w:rsid w:val="003645EB"/>
    <w:rsid w:val="00365B7D"/>
    <w:rsid w:val="00366290"/>
    <w:rsid w:val="003740BA"/>
    <w:rsid w:val="003767C3"/>
    <w:rsid w:val="00377BC5"/>
    <w:rsid w:val="003831E5"/>
    <w:rsid w:val="0038465A"/>
    <w:rsid w:val="003858BB"/>
    <w:rsid w:val="00390BD1"/>
    <w:rsid w:val="00391AC3"/>
    <w:rsid w:val="00393F5E"/>
    <w:rsid w:val="003A593E"/>
    <w:rsid w:val="003B3D34"/>
    <w:rsid w:val="003B4F67"/>
    <w:rsid w:val="003B5868"/>
    <w:rsid w:val="003C6650"/>
    <w:rsid w:val="003D2174"/>
    <w:rsid w:val="003D7D1B"/>
    <w:rsid w:val="003E4641"/>
    <w:rsid w:val="003E5323"/>
    <w:rsid w:val="003F1DA8"/>
    <w:rsid w:val="003F2723"/>
    <w:rsid w:val="003F3577"/>
    <w:rsid w:val="003F472D"/>
    <w:rsid w:val="003F538D"/>
    <w:rsid w:val="003F55E3"/>
    <w:rsid w:val="003F7056"/>
    <w:rsid w:val="00401092"/>
    <w:rsid w:val="00402A1D"/>
    <w:rsid w:val="00405222"/>
    <w:rsid w:val="00405F27"/>
    <w:rsid w:val="00412FFD"/>
    <w:rsid w:val="00414FF7"/>
    <w:rsid w:val="004221F6"/>
    <w:rsid w:val="00427112"/>
    <w:rsid w:val="004302A7"/>
    <w:rsid w:val="00433005"/>
    <w:rsid w:val="00437714"/>
    <w:rsid w:val="00442B96"/>
    <w:rsid w:val="00445C04"/>
    <w:rsid w:val="00447B29"/>
    <w:rsid w:val="00452795"/>
    <w:rsid w:val="00454F93"/>
    <w:rsid w:val="0045722D"/>
    <w:rsid w:val="00461F13"/>
    <w:rsid w:val="0046285B"/>
    <w:rsid w:val="00462C52"/>
    <w:rsid w:val="00467BE0"/>
    <w:rsid w:val="004709AD"/>
    <w:rsid w:val="00473F15"/>
    <w:rsid w:val="00475000"/>
    <w:rsid w:val="0047679D"/>
    <w:rsid w:val="00476A27"/>
    <w:rsid w:val="00477982"/>
    <w:rsid w:val="00484338"/>
    <w:rsid w:val="00484D88"/>
    <w:rsid w:val="0048510C"/>
    <w:rsid w:val="004851DF"/>
    <w:rsid w:val="00493FD9"/>
    <w:rsid w:val="0049687A"/>
    <w:rsid w:val="004A25FA"/>
    <w:rsid w:val="004A79B7"/>
    <w:rsid w:val="004B2A3C"/>
    <w:rsid w:val="004C0885"/>
    <w:rsid w:val="004C0BB1"/>
    <w:rsid w:val="004C34D6"/>
    <w:rsid w:val="004D138D"/>
    <w:rsid w:val="004D2FC9"/>
    <w:rsid w:val="004D2FF5"/>
    <w:rsid w:val="004D5809"/>
    <w:rsid w:val="004D58EF"/>
    <w:rsid w:val="004D6F10"/>
    <w:rsid w:val="004D7F7E"/>
    <w:rsid w:val="004E5DA4"/>
    <w:rsid w:val="004E661A"/>
    <w:rsid w:val="004E67CC"/>
    <w:rsid w:val="004E7997"/>
    <w:rsid w:val="004F60D7"/>
    <w:rsid w:val="00502FD9"/>
    <w:rsid w:val="00505D71"/>
    <w:rsid w:val="00506C54"/>
    <w:rsid w:val="00523196"/>
    <w:rsid w:val="005301E7"/>
    <w:rsid w:val="005334DE"/>
    <w:rsid w:val="005355B9"/>
    <w:rsid w:val="005412B9"/>
    <w:rsid w:val="00542536"/>
    <w:rsid w:val="005440E9"/>
    <w:rsid w:val="00545681"/>
    <w:rsid w:val="00545C95"/>
    <w:rsid w:val="005466D0"/>
    <w:rsid w:val="00553577"/>
    <w:rsid w:val="00553C2A"/>
    <w:rsid w:val="00553E47"/>
    <w:rsid w:val="00555A04"/>
    <w:rsid w:val="00555A7D"/>
    <w:rsid w:val="00555D27"/>
    <w:rsid w:val="00555E8E"/>
    <w:rsid w:val="005568E4"/>
    <w:rsid w:val="00562653"/>
    <w:rsid w:val="00562DB7"/>
    <w:rsid w:val="005633B3"/>
    <w:rsid w:val="00565580"/>
    <w:rsid w:val="00565DD4"/>
    <w:rsid w:val="005736CB"/>
    <w:rsid w:val="00573A12"/>
    <w:rsid w:val="00574F8E"/>
    <w:rsid w:val="00575BC0"/>
    <w:rsid w:val="00577F81"/>
    <w:rsid w:val="005820FD"/>
    <w:rsid w:val="00584E58"/>
    <w:rsid w:val="00587242"/>
    <w:rsid w:val="005A7F1D"/>
    <w:rsid w:val="005B0353"/>
    <w:rsid w:val="005B2D4F"/>
    <w:rsid w:val="005B66EC"/>
    <w:rsid w:val="005C1F05"/>
    <w:rsid w:val="005C2337"/>
    <w:rsid w:val="005C285C"/>
    <w:rsid w:val="005C500D"/>
    <w:rsid w:val="005C53CC"/>
    <w:rsid w:val="005C594A"/>
    <w:rsid w:val="005D344F"/>
    <w:rsid w:val="005D5601"/>
    <w:rsid w:val="005D6F2B"/>
    <w:rsid w:val="005E0845"/>
    <w:rsid w:val="005E6B39"/>
    <w:rsid w:val="005F6763"/>
    <w:rsid w:val="00600AAD"/>
    <w:rsid w:val="006040AB"/>
    <w:rsid w:val="00613A6A"/>
    <w:rsid w:val="00614451"/>
    <w:rsid w:val="00615AFB"/>
    <w:rsid w:val="00616216"/>
    <w:rsid w:val="00616EF7"/>
    <w:rsid w:val="00617ABC"/>
    <w:rsid w:val="00626141"/>
    <w:rsid w:val="00626296"/>
    <w:rsid w:val="006271A0"/>
    <w:rsid w:val="00630210"/>
    <w:rsid w:val="00630B65"/>
    <w:rsid w:val="006318E1"/>
    <w:rsid w:val="00634EE8"/>
    <w:rsid w:val="006373D6"/>
    <w:rsid w:val="00637EF4"/>
    <w:rsid w:val="00651C69"/>
    <w:rsid w:val="006541F5"/>
    <w:rsid w:val="006556CA"/>
    <w:rsid w:val="006570DB"/>
    <w:rsid w:val="00660EED"/>
    <w:rsid w:val="00661931"/>
    <w:rsid w:val="0066299E"/>
    <w:rsid w:val="0066566D"/>
    <w:rsid w:val="006669A4"/>
    <w:rsid w:val="00672E2B"/>
    <w:rsid w:val="00673A33"/>
    <w:rsid w:val="00677493"/>
    <w:rsid w:val="00680D82"/>
    <w:rsid w:val="00681468"/>
    <w:rsid w:val="00682626"/>
    <w:rsid w:val="00683FA4"/>
    <w:rsid w:val="00684BEF"/>
    <w:rsid w:val="00685F20"/>
    <w:rsid w:val="00687779"/>
    <w:rsid w:val="00692342"/>
    <w:rsid w:val="006A01D9"/>
    <w:rsid w:val="006A04EE"/>
    <w:rsid w:val="006A1919"/>
    <w:rsid w:val="006A1AE6"/>
    <w:rsid w:val="006A2009"/>
    <w:rsid w:val="006A440C"/>
    <w:rsid w:val="006A4836"/>
    <w:rsid w:val="006A67CC"/>
    <w:rsid w:val="006B16C2"/>
    <w:rsid w:val="006B18CA"/>
    <w:rsid w:val="006B40F0"/>
    <w:rsid w:val="006B46F8"/>
    <w:rsid w:val="006B5DC2"/>
    <w:rsid w:val="006B6C9D"/>
    <w:rsid w:val="006C1CBD"/>
    <w:rsid w:val="006C1D4D"/>
    <w:rsid w:val="006C4B74"/>
    <w:rsid w:val="006C710C"/>
    <w:rsid w:val="006C72A5"/>
    <w:rsid w:val="006D0127"/>
    <w:rsid w:val="006D0C0F"/>
    <w:rsid w:val="006D3895"/>
    <w:rsid w:val="006D77E4"/>
    <w:rsid w:val="006E22CF"/>
    <w:rsid w:val="006E295C"/>
    <w:rsid w:val="006E3C86"/>
    <w:rsid w:val="006E7C49"/>
    <w:rsid w:val="006F18BA"/>
    <w:rsid w:val="006F18ED"/>
    <w:rsid w:val="006F1C5F"/>
    <w:rsid w:val="006F3760"/>
    <w:rsid w:val="00707397"/>
    <w:rsid w:val="007075D6"/>
    <w:rsid w:val="00707E8D"/>
    <w:rsid w:val="00712462"/>
    <w:rsid w:val="00714439"/>
    <w:rsid w:val="00714B87"/>
    <w:rsid w:val="00716129"/>
    <w:rsid w:val="00722D49"/>
    <w:rsid w:val="00722F1D"/>
    <w:rsid w:val="0073210F"/>
    <w:rsid w:val="00732683"/>
    <w:rsid w:val="0073780A"/>
    <w:rsid w:val="0074058A"/>
    <w:rsid w:val="00740BB9"/>
    <w:rsid w:val="00741464"/>
    <w:rsid w:val="0074436A"/>
    <w:rsid w:val="00744E92"/>
    <w:rsid w:val="00745363"/>
    <w:rsid w:val="007559B4"/>
    <w:rsid w:val="00757CB6"/>
    <w:rsid w:val="00760966"/>
    <w:rsid w:val="00763246"/>
    <w:rsid w:val="00763BEB"/>
    <w:rsid w:val="007679AD"/>
    <w:rsid w:val="00774783"/>
    <w:rsid w:val="00775758"/>
    <w:rsid w:val="00775F77"/>
    <w:rsid w:val="00786BA8"/>
    <w:rsid w:val="007930C7"/>
    <w:rsid w:val="007958B4"/>
    <w:rsid w:val="0079627F"/>
    <w:rsid w:val="007A2A24"/>
    <w:rsid w:val="007A7182"/>
    <w:rsid w:val="007B4799"/>
    <w:rsid w:val="007B5730"/>
    <w:rsid w:val="007B58C9"/>
    <w:rsid w:val="007C12D5"/>
    <w:rsid w:val="007C1D41"/>
    <w:rsid w:val="007D1B12"/>
    <w:rsid w:val="007D5EF0"/>
    <w:rsid w:val="007D6D85"/>
    <w:rsid w:val="007E1398"/>
    <w:rsid w:val="007E1614"/>
    <w:rsid w:val="007E4E29"/>
    <w:rsid w:val="007E4F97"/>
    <w:rsid w:val="007E6521"/>
    <w:rsid w:val="007E6699"/>
    <w:rsid w:val="007E68B4"/>
    <w:rsid w:val="007E6C48"/>
    <w:rsid w:val="007E7B0D"/>
    <w:rsid w:val="007F0158"/>
    <w:rsid w:val="007F2168"/>
    <w:rsid w:val="007F29D3"/>
    <w:rsid w:val="007F309A"/>
    <w:rsid w:val="007F51BC"/>
    <w:rsid w:val="00800191"/>
    <w:rsid w:val="00802B17"/>
    <w:rsid w:val="00804DF7"/>
    <w:rsid w:val="00805E50"/>
    <w:rsid w:val="00806A80"/>
    <w:rsid w:val="00807C1E"/>
    <w:rsid w:val="0081071C"/>
    <w:rsid w:val="008228C7"/>
    <w:rsid w:val="00823803"/>
    <w:rsid w:val="008271FB"/>
    <w:rsid w:val="008275B7"/>
    <w:rsid w:val="0083263B"/>
    <w:rsid w:val="00836C36"/>
    <w:rsid w:val="008425D3"/>
    <w:rsid w:val="00851AF9"/>
    <w:rsid w:val="00852528"/>
    <w:rsid w:val="0085299E"/>
    <w:rsid w:val="008564C0"/>
    <w:rsid w:val="008643EA"/>
    <w:rsid w:val="00864895"/>
    <w:rsid w:val="00865732"/>
    <w:rsid w:val="00865ACA"/>
    <w:rsid w:val="008664CC"/>
    <w:rsid w:val="00867E8E"/>
    <w:rsid w:val="008726A8"/>
    <w:rsid w:val="0087612E"/>
    <w:rsid w:val="00877A7A"/>
    <w:rsid w:val="0088141D"/>
    <w:rsid w:val="00882370"/>
    <w:rsid w:val="00885850"/>
    <w:rsid w:val="0088797F"/>
    <w:rsid w:val="00894FEF"/>
    <w:rsid w:val="00896037"/>
    <w:rsid w:val="008A0980"/>
    <w:rsid w:val="008A17D2"/>
    <w:rsid w:val="008A3C72"/>
    <w:rsid w:val="008A3CA3"/>
    <w:rsid w:val="008B3AAD"/>
    <w:rsid w:val="008B3FDA"/>
    <w:rsid w:val="008C1007"/>
    <w:rsid w:val="008C48C6"/>
    <w:rsid w:val="008C75AC"/>
    <w:rsid w:val="008D275D"/>
    <w:rsid w:val="008D3C0E"/>
    <w:rsid w:val="008E49CC"/>
    <w:rsid w:val="008E4F7D"/>
    <w:rsid w:val="008E66EF"/>
    <w:rsid w:val="008F002B"/>
    <w:rsid w:val="008F255B"/>
    <w:rsid w:val="008F305F"/>
    <w:rsid w:val="008F45EA"/>
    <w:rsid w:val="008F5CB9"/>
    <w:rsid w:val="008F6758"/>
    <w:rsid w:val="008F7060"/>
    <w:rsid w:val="009002C7"/>
    <w:rsid w:val="00900E88"/>
    <w:rsid w:val="00902D96"/>
    <w:rsid w:val="00906192"/>
    <w:rsid w:val="009061B2"/>
    <w:rsid w:val="0090702E"/>
    <w:rsid w:val="00907AA6"/>
    <w:rsid w:val="00910455"/>
    <w:rsid w:val="0091393A"/>
    <w:rsid w:val="00915D97"/>
    <w:rsid w:val="009179C7"/>
    <w:rsid w:val="0092353D"/>
    <w:rsid w:val="0092359F"/>
    <w:rsid w:val="009248BC"/>
    <w:rsid w:val="00925FE7"/>
    <w:rsid w:val="00930245"/>
    <w:rsid w:val="009302E8"/>
    <w:rsid w:val="00932610"/>
    <w:rsid w:val="009328F1"/>
    <w:rsid w:val="00932BD1"/>
    <w:rsid w:val="00936ED0"/>
    <w:rsid w:val="00940370"/>
    <w:rsid w:val="00940A12"/>
    <w:rsid w:val="0094150F"/>
    <w:rsid w:val="00947D00"/>
    <w:rsid w:val="00952D52"/>
    <w:rsid w:val="00961C30"/>
    <w:rsid w:val="009674E9"/>
    <w:rsid w:val="009700CF"/>
    <w:rsid w:val="00975150"/>
    <w:rsid w:val="00980A1B"/>
    <w:rsid w:val="00981357"/>
    <w:rsid w:val="00996E3E"/>
    <w:rsid w:val="009A0E67"/>
    <w:rsid w:val="009A56C8"/>
    <w:rsid w:val="009C34DF"/>
    <w:rsid w:val="009C55B3"/>
    <w:rsid w:val="009D084B"/>
    <w:rsid w:val="009D301C"/>
    <w:rsid w:val="009D3672"/>
    <w:rsid w:val="009D3876"/>
    <w:rsid w:val="009D45F2"/>
    <w:rsid w:val="009D67D3"/>
    <w:rsid w:val="009E0496"/>
    <w:rsid w:val="009E2BD7"/>
    <w:rsid w:val="009E3E66"/>
    <w:rsid w:val="009E5895"/>
    <w:rsid w:val="009E65D9"/>
    <w:rsid w:val="009F6C70"/>
    <w:rsid w:val="00A05E80"/>
    <w:rsid w:val="00A07C22"/>
    <w:rsid w:val="00A07C54"/>
    <w:rsid w:val="00A10A33"/>
    <w:rsid w:val="00A1116B"/>
    <w:rsid w:val="00A174C5"/>
    <w:rsid w:val="00A2426D"/>
    <w:rsid w:val="00A26BB1"/>
    <w:rsid w:val="00A26CB7"/>
    <w:rsid w:val="00A32462"/>
    <w:rsid w:val="00A324C2"/>
    <w:rsid w:val="00A35F57"/>
    <w:rsid w:val="00A40F06"/>
    <w:rsid w:val="00A414F5"/>
    <w:rsid w:val="00A4207D"/>
    <w:rsid w:val="00A463AB"/>
    <w:rsid w:val="00A473E1"/>
    <w:rsid w:val="00A517F6"/>
    <w:rsid w:val="00A52A71"/>
    <w:rsid w:val="00A55792"/>
    <w:rsid w:val="00A57D00"/>
    <w:rsid w:val="00A618C8"/>
    <w:rsid w:val="00A7004C"/>
    <w:rsid w:val="00A70108"/>
    <w:rsid w:val="00A7116A"/>
    <w:rsid w:val="00A73E69"/>
    <w:rsid w:val="00A75996"/>
    <w:rsid w:val="00A763EB"/>
    <w:rsid w:val="00A77325"/>
    <w:rsid w:val="00A81370"/>
    <w:rsid w:val="00A836E4"/>
    <w:rsid w:val="00A83F14"/>
    <w:rsid w:val="00A84C73"/>
    <w:rsid w:val="00A91E96"/>
    <w:rsid w:val="00A96794"/>
    <w:rsid w:val="00A973FB"/>
    <w:rsid w:val="00A97FE9"/>
    <w:rsid w:val="00AA4D24"/>
    <w:rsid w:val="00AB051B"/>
    <w:rsid w:val="00AB1932"/>
    <w:rsid w:val="00AB6126"/>
    <w:rsid w:val="00AB7E97"/>
    <w:rsid w:val="00AC4D03"/>
    <w:rsid w:val="00AC5B61"/>
    <w:rsid w:val="00AC62DD"/>
    <w:rsid w:val="00AC7C00"/>
    <w:rsid w:val="00AC7EB7"/>
    <w:rsid w:val="00AD18C7"/>
    <w:rsid w:val="00AD28E9"/>
    <w:rsid w:val="00AD404E"/>
    <w:rsid w:val="00AD53C6"/>
    <w:rsid w:val="00AD640E"/>
    <w:rsid w:val="00AD6DF8"/>
    <w:rsid w:val="00AF096B"/>
    <w:rsid w:val="00AF3D45"/>
    <w:rsid w:val="00B023CA"/>
    <w:rsid w:val="00B04350"/>
    <w:rsid w:val="00B044D1"/>
    <w:rsid w:val="00B06328"/>
    <w:rsid w:val="00B07D29"/>
    <w:rsid w:val="00B12359"/>
    <w:rsid w:val="00B14726"/>
    <w:rsid w:val="00B228F1"/>
    <w:rsid w:val="00B240B0"/>
    <w:rsid w:val="00B268BA"/>
    <w:rsid w:val="00B3001E"/>
    <w:rsid w:val="00B31086"/>
    <w:rsid w:val="00B31FBB"/>
    <w:rsid w:val="00B32392"/>
    <w:rsid w:val="00B371DF"/>
    <w:rsid w:val="00B37347"/>
    <w:rsid w:val="00B458AE"/>
    <w:rsid w:val="00B45933"/>
    <w:rsid w:val="00B476A7"/>
    <w:rsid w:val="00B5186C"/>
    <w:rsid w:val="00B60A95"/>
    <w:rsid w:val="00B61722"/>
    <w:rsid w:val="00B675C9"/>
    <w:rsid w:val="00B71CAC"/>
    <w:rsid w:val="00B80A03"/>
    <w:rsid w:val="00B81F09"/>
    <w:rsid w:val="00B82BEA"/>
    <w:rsid w:val="00B845F7"/>
    <w:rsid w:val="00B875FA"/>
    <w:rsid w:val="00B8788E"/>
    <w:rsid w:val="00B90070"/>
    <w:rsid w:val="00B93DCF"/>
    <w:rsid w:val="00B9450F"/>
    <w:rsid w:val="00BA35E5"/>
    <w:rsid w:val="00BA4C49"/>
    <w:rsid w:val="00BA54FB"/>
    <w:rsid w:val="00BA5F68"/>
    <w:rsid w:val="00BB245A"/>
    <w:rsid w:val="00BB25D4"/>
    <w:rsid w:val="00BB4240"/>
    <w:rsid w:val="00BB52BD"/>
    <w:rsid w:val="00BC1424"/>
    <w:rsid w:val="00BC2E72"/>
    <w:rsid w:val="00BC7B8C"/>
    <w:rsid w:val="00BD0174"/>
    <w:rsid w:val="00BD1703"/>
    <w:rsid w:val="00BD4094"/>
    <w:rsid w:val="00BD4983"/>
    <w:rsid w:val="00BD5CE7"/>
    <w:rsid w:val="00BD73F7"/>
    <w:rsid w:val="00BE3762"/>
    <w:rsid w:val="00BE4E48"/>
    <w:rsid w:val="00BF0082"/>
    <w:rsid w:val="00BF1C36"/>
    <w:rsid w:val="00BF3AE2"/>
    <w:rsid w:val="00C0159F"/>
    <w:rsid w:val="00C01B1F"/>
    <w:rsid w:val="00C0340A"/>
    <w:rsid w:val="00C0485A"/>
    <w:rsid w:val="00C05087"/>
    <w:rsid w:val="00C10163"/>
    <w:rsid w:val="00C11661"/>
    <w:rsid w:val="00C17165"/>
    <w:rsid w:val="00C2058A"/>
    <w:rsid w:val="00C21685"/>
    <w:rsid w:val="00C21879"/>
    <w:rsid w:val="00C22781"/>
    <w:rsid w:val="00C251C3"/>
    <w:rsid w:val="00C30838"/>
    <w:rsid w:val="00C3150E"/>
    <w:rsid w:val="00C37F45"/>
    <w:rsid w:val="00C45BFB"/>
    <w:rsid w:val="00C54BBB"/>
    <w:rsid w:val="00C5609D"/>
    <w:rsid w:val="00C5637E"/>
    <w:rsid w:val="00C56698"/>
    <w:rsid w:val="00C571BC"/>
    <w:rsid w:val="00C616F5"/>
    <w:rsid w:val="00C619BF"/>
    <w:rsid w:val="00C62982"/>
    <w:rsid w:val="00C64212"/>
    <w:rsid w:val="00C83962"/>
    <w:rsid w:val="00C84C2C"/>
    <w:rsid w:val="00C8547E"/>
    <w:rsid w:val="00C85A8B"/>
    <w:rsid w:val="00C9222F"/>
    <w:rsid w:val="00C94E18"/>
    <w:rsid w:val="00C97D42"/>
    <w:rsid w:val="00CA59AF"/>
    <w:rsid w:val="00CB37D8"/>
    <w:rsid w:val="00CB38FE"/>
    <w:rsid w:val="00CB52A2"/>
    <w:rsid w:val="00CB5AE7"/>
    <w:rsid w:val="00CB5AFA"/>
    <w:rsid w:val="00CC32DA"/>
    <w:rsid w:val="00CC3D87"/>
    <w:rsid w:val="00CC466C"/>
    <w:rsid w:val="00CC5669"/>
    <w:rsid w:val="00CD165D"/>
    <w:rsid w:val="00CD3E27"/>
    <w:rsid w:val="00CD4FFD"/>
    <w:rsid w:val="00CD5BB3"/>
    <w:rsid w:val="00CD6AB3"/>
    <w:rsid w:val="00CD7DC3"/>
    <w:rsid w:val="00CE59F1"/>
    <w:rsid w:val="00CE6B5A"/>
    <w:rsid w:val="00CF0D4B"/>
    <w:rsid w:val="00CF118E"/>
    <w:rsid w:val="00CF39F7"/>
    <w:rsid w:val="00CF3E36"/>
    <w:rsid w:val="00D00F6D"/>
    <w:rsid w:val="00D02DE9"/>
    <w:rsid w:val="00D03A8A"/>
    <w:rsid w:val="00D061E8"/>
    <w:rsid w:val="00D07C4E"/>
    <w:rsid w:val="00D1026B"/>
    <w:rsid w:val="00D11D92"/>
    <w:rsid w:val="00D21EA7"/>
    <w:rsid w:val="00D23C77"/>
    <w:rsid w:val="00D270FE"/>
    <w:rsid w:val="00D31E82"/>
    <w:rsid w:val="00D32F71"/>
    <w:rsid w:val="00D3370E"/>
    <w:rsid w:val="00D338BC"/>
    <w:rsid w:val="00D34D50"/>
    <w:rsid w:val="00D34F77"/>
    <w:rsid w:val="00D3550C"/>
    <w:rsid w:val="00D40A81"/>
    <w:rsid w:val="00D4134F"/>
    <w:rsid w:val="00D422AD"/>
    <w:rsid w:val="00D46D07"/>
    <w:rsid w:val="00D50BD4"/>
    <w:rsid w:val="00D54170"/>
    <w:rsid w:val="00D545C0"/>
    <w:rsid w:val="00D54D4E"/>
    <w:rsid w:val="00D56F6A"/>
    <w:rsid w:val="00D63645"/>
    <w:rsid w:val="00D66E4A"/>
    <w:rsid w:val="00D826DB"/>
    <w:rsid w:val="00D82706"/>
    <w:rsid w:val="00D832D9"/>
    <w:rsid w:val="00D86316"/>
    <w:rsid w:val="00D9184F"/>
    <w:rsid w:val="00D91FC9"/>
    <w:rsid w:val="00D9235E"/>
    <w:rsid w:val="00D95F00"/>
    <w:rsid w:val="00D968E0"/>
    <w:rsid w:val="00D97963"/>
    <w:rsid w:val="00D97BC7"/>
    <w:rsid w:val="00DA34C6"/>
    <w:rsid w:val="00DA48BC"/>
    <w:rsid w:val="00DB2FC1"/>
    <w:rsid w:val="00DB434F"/>
    <w:rsid w:val="00DB446B"/>
    <w:rsid w:val="00DC255E"/>
    <w:rsid w:val="00DC3A19"/>
    <w:rsid w:val="00DC4648"/>
    <w:rsid w:val="00DC4C5C"/>
    <w:rsid w:val="00DD0BAF"/>
    <w:rsid w:val="00DE0EB1"/>
    <w:rsid w:val="00DE3B62"/>
    <w:rsid w:val="00DE3C3F"/>
    <w:rsid w:val="00DE70E7"/>
    <w:rsid w:val="00DE795F"/>
    <w:rsid w:val="00DF1C99"/>
    <w:rsid w:val="00E010B0"/>
    <w:rsid w:val="00E017ED"/>
    <w:rsid w:val="00E05EBB"/>
    <w:rsid w:val="00E10D29"/>
    <w:rsid w:val="00E164A8"/>
    <w:rsid w:val="00E17F73"/>
    <w:rsid w:val="00E3069E"/>
    <w:rsid w:val="00E36ED3"/>
    <w:rsid w:val="00E41C2E"/>
    <w:rsid w:val="00E42D3A"/>
    <w:rsid w:val="00E4556C"/>
    <w:rsid w:val="00E46E2B"/>
    <w:rsid w:val="00E62F38"/>
    <w:rsid w:val="00E648C0"/>
    <w:rsid w:val="00E709BC"/>
    <w:rsid w:val="00E71EB5"/>
    <w:rsid w:val="00E7221B"/>
    <w:rsid w:val="00E80226"/>
    <w:rsid w:val="00E81109"/>
    <w:rsid w:val="00E85408"/>
    <w:rsid w:val="00E87146"/>
    <w:rsid w:val="00E911BD"/>
    <w:rsid w:val="00E96717"/>
    <w:rsid w:val="00EA35D3"/>
    <w:rsid w:val="00EB02E2"/>
    <w:rsid w:val="00EB293C"/>
    <w:rsid w:val="00EB786D"/>
    <w:rsid w:val="00EC1362"/>
    <w:rsid w:val="00EC18C2"/>
    <w:rsid w:val="00EC6A03"/>
    <w:rsid w:val="00ED214C"/>
    <w:rsid w:val="00ED28F7"/>
    <w:rsid w:val="00ED6099"/>
    <w:rsid w:val="00EE2DAA"/>
    <w:rsid w:val="00EE4999"/>
    <w:rsid w:val="00EF45E6"/>
    <w:rsid w:val="00EF47A7"/>
    <w:rsid w:val="00F026E0"/>
    <w:rsid w:val="00F05CC0"/>
    <w:rsid w:val="00F07C6F"/>
    <w:rsid w:val="00F11F10"/>
    <w:rsid w:val="00F174BE"/>
    <w:rsid w:val="00F21094"/>
    <w:rsid w:val="00F218DF"/>
    <w:rsid w:val="00F23261"/>
    <w:rsid w:val="00F2337A"/>
    <w:rsid w:val="00F2380D"/>
    <w:rsid w:val="00F26C86"/>
    <w:rsid w:val="00F30895"/>
    <w:rsid w:val="00F32EBF"/>
    <w:rsid w:val="00F33649"/>
    <w:rsid w:val="00F35178"/>
    <w:rsid w:val="00F35A4A"/>
    <w:rsid w:val="00F4474D"/>
    <w:rsid w:val="00F47C78"/>
    <w:rsid w:val="00F53D94"/>
    <w:rsid w:val="00F557A4"/>
    <w:rsid w:val="00F6546D"/>
    <w:rsid w:val="00F67C4E"/>
    <w:rsid w:val="00F67C81"/>
    <w:rsid w:val="00F837C2"/>
    <w:rsid w:val="00F85ACF"/>
    <w:rsid w:val="00FA14B3"/>
    <w:rsid w:val="00FA1E76"/>
    <w:rsid w:val="00FA527E"/>
    <w:rsid w:val="00FA6CE7"/>
    <w:rsid w:val="00FA71B3"/>
    <w:rsid w:val="00FB05A7"/>
    <w:rsid w:val="00FB4103"/>
    <w:rsid w:val="00FC040B"/>
    <w:rsid w:val="00FC11FE"/>
    <w:rsid w:val="00FC5F9B"/>
    <w:rsid w:val="00FD04AC"/>
    <w:rsid w:val="00FD1D05"/>
    <w:rsid w:val="00FD2F75"/>
    <w:rsid w:val="00FD77EE"/>
    <w:rsid w:val="00FE5E4B"/>
    <w:rsid w:val="00FF0C0D"/>
    <w:rsid w:val="00FF0E77"/>
    <w:rsid w:val="00FF26A6"/>
    <w:rsid w:val="00FF6D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3B3E0"/>
  <w15:docId w15:val="{1488AA8E-000C-4063-9817-E51C36D25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645"/>
    <w:pPr>
      <w:spacing w:after="0" w:line="240" w:lineRule="auto"/>
      <w:jc w:val="both"/>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6364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D6364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63645"/>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D63645"/>
    <w:pPr>
      <w:spacing w:before="240" w:after="60"/>
      <w:outlineLvl w:val="4"/>
    </w:pPr>
    <w:rPr>
      <w:b/>
      <w:bCs/>
      <w:i/>
      <w:iCs/>
      <w:sz w:val="26"/>
      <w:szCs w:val="26"/>
    </w:rPr>
  </w:style>
  <w:style w:type="paragraph" w:styleId="Heading6">
    <w:name w:val="heading 6"/>
    <w:basedOn w:val="Normal"/>
    <w:next w:val="Normal"/>
    <w:link w:val="Heading6Char"/>
    <w:qFormat/>
    <w:rsid w:val="00D63645"/>
    <w:pPr>
      <w:spacing w:after="240"/>
      <w:ind w:left="1440" w:hanging="720"/>
      <w:outlineLvl w:val="5"/>
    </w:pPr>
    <w:rPr>
      <w:szCs w:val="20"/>
    </w:rPr>
  </w:style>
  <w:style w:type="paragraph" w:styleId="Heading7">
    <w:name w:val="heading 7"/>
    <w:basedOn w:val="Normal"/>
    <w:next w:val="Normal"/>
    <w:link w:val="Heading7Char"/>
    <w:qFormat/>
    <w:rsid w:val="00D63645"/>
    <w:pPr>
      <w:spacing w:before="240" w:after="60"/>
      <w:outlineLvl w:val="6"/>
    </w:pPr>
  </w:style>
  <w:style w:type="paragraph" w:styleId="Heading8">
    <w:name w:val="heading 8"/>
    <w:basedOn w:val="Normal"/>
    <w:next w:val="Normal"/>
    <w:link w:val="Heading8Char"/>
    <w:qFormat/>
    <w:rsid w:val="00D63645"/>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3645"/>
    <w:rPr>
      <w:rFonts w:ascii="Arial" w:eastAsia="Times New Roman" w:hAnsi="Arial" w:cs="Arial"/>
      <w:b/>
      <w:bCs/>
      <w:kern w:val="32"/>
      <w:sz w:val="32"/>
      <w:szCs w:val="32"/>
    </w:rPr>
  </w:style>
  <w:style w:type="character" w:customStyle="1" w:styleId="Heading2Char">
    <w:name w:val="Heading 2 Char"/>
    <w:basedOn w:val="DefaultParagraphFont"/>
    <w:link w:val="Heading2"/>
    <w:rsid w:val="00D63645"/>
    <w:rPr>
      <w:rFonts w:ascii="Arial" w:eastAsia="Times New Roman" w:hAnsi="Arial" w:cs="Arial"/>
      <w:b/>
      <w:bCs/>
      <w:i/>
      <w:iCs/>
      <w:sz w:val="28"/>
      <w:szCs w:val="28"/>
    </w:rPr>
  </w:style>
  <w:style w:type="character" w:customStyle="1" w:styleId="Heading3Char">
    <w:name w:val="Heading 3 Char"/>
    <w:basedOn w:val="DefaultParagraphFont"/>
    <w:link w:val="Heading3"/>
    <w:rsid w:val="00D63645"/>
    <w:rPr>
      <w:rFonts w:ascii="Arial" w:eastAsia="Times New Roman" w:hAnsi="Arial" w:cs="Arial"/>
      <w:b/>
      <w:bCs/>
      <w:sz w:val="26"/>
      <w:szCs w:val="26"/>
    </w:rPr>
  </w:style>
  <w:style w:type="character" w:customStyle="1" w:styleId="Heading5Char">
    <w:name w:val="Heading 5 Char"/>
    <w:basedOn w:val="DefaultParagraphFont"/>
    <w:link w:val="Heading5"/>
    <w:rsid w:val="00D63645"/>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D63645"/>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D63645"/>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D63645"/>
    <w:rPr>
      <w:rFonts w:ascii="Times New Roman" w:eastAsia="Times New Roman" w:hAnsi="Times New Roman" w:cs="Times New Roman"/>
      <w:i/>
      <w:iCs/>
      <w:sz w:val="24"/>
      <w:szCs w:val="24"/>
    </w:rPr>
  </w:style>
  <w:style w:type="character" w:styleId="FootnoteReference">
    <w:name w:val="footnote reference"/>
    <w:basedOn w:val="DefaultParagraphFont"/>
    <w:uiPriority w:val="99"/>
    <w:rsid w:val="00D63645"/>
    <w:rPr>
      <w:vertAlign w:val="superscript"/>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FootnoteTextChar"/>
    <w:uiPriority w:val="99"/>
    <w:qFormat/>
    <w:rsid w:val="00D63645"/>
    <w:pPr>
      <w:jc w:val="left"/>
    </w:pPr>
    <w:rPr>
      <w:sz w:val="20"/>
      <w:szCs w:val="20"/>
      <w:lang w:val="ru-RU"/>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D63645"/>
    <w:rPr>
      <w:rFonts w:ascii="Times New Roman" w:eastAsia="Times New Roman" w:hAnsi="Times New Roman" w:cs="Times New Roman"/>
      <w:sz w:val="20"/>
      <w:szCs w:val="20"/>
      <w:lang w:val="ru-RU"/>
    </w:rPr>
  </w:style>
  <w:style w:type="paragraph" w:customStyle="1" w:styleId="Heading1a">
    <w:name w:val="Heading 1a"/>
    <w:basedOn w:val="Normal"/>
    <w:next w:val="Normal"/>
    <w:link w:val="Heading1aChar"/>
    <w:rsid w:val="00D63645"/>
    <w:pPr>
      <w:keepNext/>
      <w:keepLines/>
      <w:numPr>
        <w:numId w:val="1"/>
      </w:numPr>
      <w:spacing w:before="480" w:after="240"/>
      <w:jc w:val="center"/>
      <w:outlineLvl w:val="0"/>
    </w:pPr>
    <w:rPr>
      <w:b/>
      <w:caps/>
      <w:sz w:val="32"/>
    </w:rPr>
  </w:style>
  <w:style w:type="paragraph" w:customStyle="1" w:styleId="MainParanoChapter">
    <w:name w:val="Main Para no Chapter #"/>
    <w:basedOn w:val="Normal"/>
    <w:rsid w:val="00D63645"/>
    <w:pPr>
      <w:numPr>
        <w:ilvl w:val="1"/>
        <w:numId w:val="1"/>
      </w:numPr>
      <w:spacing w:after="240"/>
      <w:outlineLvl w:val="1"/>
    </w:pPr>
  </w:style>
  <w:style w:type="paragraph" w:customStyle="1" w:styleId="Sub-Para2underX">
    <w:name w:val="Sub-Para 2 under X."/>
    <w:basedOn w:val="Normal"/>
    <w:rsid w:val="00D63645"/>
    <w:pPr>
      <w:numPr>
        <w:ilvl w:val="3"/>
        <w:numId w:val="1"/>
      </w:numPr>
      <w:tabs>
        <w:tab w:val="clear" w:pos="1800"/>
      </w:tabs>
      <w:spacing w:after="240"/>
      <w:ind w:left="2160" w:hanging="720"/>
      <w:outlineLvl w:val="3"/>
    </w:pPr>
  </w:style>
  <w:style w:type="paragraph" w:customStyle="1" w:styleId="Sub-Para3underX">
    <w:name w:val="Sub-Para 3 under X."/>
    <w:basedOn w:val="Normal"/>
    <w:rsid w:val="00D63645"/>
    <w:pPr>
      <w:numPr>
        <w:ilvl w:val="4"/>
        <w:numId w:val="1"/>
      </w:numPr>
      <w:tabs>
        <w:tab w:val="clear" w:pos="1440"/>
      </w:tabs>
      <w:spacing w:after="240"/>
      <w:ind w:left="2880" w:hanging="720"/>
      <w:outlineLvl w:val="4"/>
    </w:pPr>
  </w:style>
  <w:style w:type="paragraph" w:customStyle="1" w:styleId="Sub-Para4underX">
    <w:name w:val="Sub-Para 4 under X."/>
    <w:basedOn w:val="Normal"/>
    <w:rsid w:val="00D63645"/>
    <w:pPr>
      <w:numPr>
        <w:ilvl w:val="5"/>
        <w:numId w:val="1"/>
      </w:numPr>
      <w:tabs>
        <w:tab w:val="clear" w:pos="2160"/>
      </w:tabs>
      <w:spacing w:after="240"/>
      <w:ind w:left="3600" w:hanging="720"/>
      <w:outlineLvl w:val="5"/>
    </w:pPr>
  </w:style>
  <w:style w:type="paragraph" w:styleId="BodyText">
    <w:name w:val="Body Text"/>
    <w:basedOn w:val="Normal"/>
    <w:link w:val="BodyTextChar"/>
    <w:rsid w:val="00D63645"/>
    <w:pPr>
      <w:jc w:val="left"/>
    </w:pPr>
    <w:rPr>
      <w:b/>
    </w:rPr>
  </w:style>
  <w:style w:type="character" w:customStyle="1" w:styleId="BodyTextChar">
    <w:name w:val="Body Text Char"/>
    <w:basedOn w:val="DefaultParagraphFont"/>
    <w:link w:val="BodyText"/>
    <w:rsid w:val="00D63645"/>
    <w:rPr>
      <w:rFonts w:ascii="Times New Roman" w:eastAsia="Times New Roman" w:hAnsi="Times New Roman" w:cs="Times New Roman"/>
      <w:b/>
      <w:sz w:val="24"/>
      <w:szCs w:val="24"/>
    </w:rPr>
  </w:style>
  <w:style w:type="paragraph" w:styleId="BodyTextIndent">
    <w:name w:val="Body Text Indent"/>
    <w:basedOn w:val="Normal"/>
    <w:link w:val="BodyTextIndentChar"/>
    <w:rsid w:val="00D63645"/>
    <w:pPr>
      <w:spacing w:after="120"/>
      <w:ind w:left="283"/>
    </w:pPr>
  </w:style>
  <w:style w:type="character" w:customStyle="1" w:styleId="BodyTextIndentChar">
    <w:name w:val="Body Text Indent Char"/>
    <w:basedOn w:val="DefaultParagraphFont"/>
    <w:link w:val="BodyTextIndent"/>
    <w:rsid w:val="00D63645"/>
    <w:rPr>
      <w:rFonts w:ascii="Times New Roman" w:eastAsia="Times New Roman" w:hAnsi="Times New Roman" w:cs="Times New Roman"/>
      <w:sz w:val="24"/>
      <w:szCs w:val="24"/>
    </w:rPr>
  </w:style>
  <w:style w:type="paragraph" w:styleId="BodyTextIndent2">
    <w:name w:val="Body Text Indent 2"/>
    <w:basedOn w:val="Normal"/>
    <w:link w:val="BodyTextIndent2Char"/>
    <w:rsid w:val="00D63645"/>
    <w:pPr>
      <w:spacing w:after="120" w:line="480" w:lineRule="auto"/>
      <w:ind w:left="283"/>
    </w:pPr>
  </w:style>
  <w:style w:type="character" w:customStyle="1" w:styleId="BodyTextIndent2Char">
    <w:name w:val="Body Text Indent 2 Char"/>
    <w:basedOn w:val="DefaultParagraphFont"/>
    <w:link w:val="BodyTextIndent2"/>
    <w:rsid w:val="00D63645"/>
    <w:rPr>
      <w:rFonts w:ascii="Times New Roman" w:eastAsia="Times New Roman" w:hAnsi="Times New Roman" w:cs="Times New Roman"/>
      <w:sz w:val="24"/>
      <w:szCs w:val="24"/>
    </w:rPr>
  </w:style>
  <w:style w:type="paragraph" w:styleId="BodyText2">
    <w:name w:val="Body Text 2"/>
    <w:basedOn w:val="Normal"/>
    <w:link w:val="BodyText2Char"/>
    <w:rsid w:val="00D63645"/>
    <w:pPr>
      <w:spacing w:after="120" w:line="480" w:lineRule="auto"/>
    </w:pPr>
  </w:style>
  <w:style w:type="character" w:customStyle="1" w:styleId="BodyText2Char">
    <w:name w:val="Body Text 2 Char"/>
    <w:basedOn w:val="DefaultParagraphFont"/>
    <w:link w:val="BodyText2"/>
    <w:rsid w:val="00D63645"/>
    <w:rPr>
      <w:rFonts w:ascii="Times New Roman" w:eastAsia="Times New Roman" w:hAnsi="Times New Roman" w:cs="Times New Roman"/>
      <w:sz w:val="24"/>
      <w:szCs w:val="24"/>
    </w:rPr>
  </w:style>
  <w:style w:type="paragraph" w:customStyle="1" w:styleId="BankNormal">
    <w:name w:val="BankNormal"/>
    <w:basedOn w:val="Normal"/>
    <w:rsid w:val="00D63645"/>
    <w:pPr>
      <w:spacing w:after="240"/>
    </w:pPr>
    <w:rPr>
      <w:szCs w:val="20"/>
    </w:rPr>
  </w:style>
  <w:style w:type="character" w:styleId="Hyperlink">
    <w:name w:val="Hyperlink"/>
    <w:basedOn w:val="DefaultParagraphFont"/>
    <w:uiPriority w:val="99"/>
    <w:rsid w:val="00D63645"/>
    <w:rPr>
      <w:color w:val="0000FF"/>
      <w:u w:val="single"/>
    </w:rPr>
  </w:style>
  <w:style w:type="table" w:styleId="TableGrid">
    <w:name w:val="Table Grid"/>
    <w:basedOn w:val="TableNormal"/>
    <w:uiPriority w:val="39"/>
    <w:rsid w:val="00D63645"/>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63645"/>
    <w:pPr>
      <w:tabs>
        <w:tab w:val="center" w:pos="4320"/>
        <w:tab w:val="right" w:pos="8640"/>
      </w:tabs>
      <w:ind w:right="360"/>
    </w:pPr>
    <w:rPr>
      <w:szCs w:val="20"/>
    </w:rPr>
  </w:style>
  <w:style w:type="character" w:customStyle="1" w:styleId="HeaderChar">
    <w:name w:val="Header Char"/>
    <w:basedOn w:val="DefaultParagraphFont"/>
    <w:link w:val="Header"/>
    <w:uiPriority w:val="99"/>
    <w:rsid w:val="00D63645"/>
    <w:rPr>
      <w:rFonts w:ascii="Times New Roman" w:eastAsia="Times New Roman" w:hAnsi="Times New Roman" w:cs="Times New Roman"/>
      <w:sz w:val="24"/>
      <w:szCs w:val="20"/>
    </w:rPr>
  </w:style>
  <w:style w:type="character" w:styleId="PageNumber">
    <w:name w:val="page number"/>
    <w:basedOn w:val="DefaultParagraphFont"/>
    <w:rsid w:val="00D63645"/>
  </w:style>
  <w:style w:type="paragraph" w:styleId="Footer">
    <w:name w:val="footer"/>
    <w:basedOn w:val="Normal"/>
    <w:link w:val="FooterChar"/>
    <w:uiPriority w:val="99"/>
    <w:rsid w:val="00D63645"/>
    <w:pPr>
      <w:tabs>
        <w:tab w:val="center" w:pos="4320"/>
        <w:tab w:val="right" w:pos="8640"/>
      </w:tabs>
    </w:pPr>
    <w:rPr>
      <w:szCs w:val="20"/>
    </w:rPr>
  </w:style>
  <w:style w:type="character" w:customStyle="1" w:styleId="FooterChar">
    <w:name w:val="Footer Char"/>
    <w:basedOn w:val="DefaultParagraphFont"/>
    <w:link w:val="Footer"/>
    <w:uiPriority w:val="99"/>
    <w:rsid w:val="00D63645"/>
    <w:rPr>
      <w:rFonts w:ascii="Times New Roman" w:eastAsia="Times New Roman" w:hAnsi="Times New Roman" w:cs="Times New Roman"/>
      <w:sz w:val="24"/>
      <w:szCs w:val="20"/>
    </w:rPr>
  </w:style>
  <w:style w:type="paragraph" w:styleId="BodyText3">
    <w:name w:val="Body Text 3"/>
    <w:basedOn w:val="Normal"/>
    <w:link w:val="BodyText3Char"/>
    <w:rsid w:val="00D63645"/>
    <w:pPr>
      <w:spacing w:after="120"/>
    </w:pPr>
    <w:rPr>
      <w:sz w:val="16"/>
      <w:szCs w:val="16"/>
    </w:rPr>
  </w:style>
  <w:style w:type="character" w:customStyle="1" w:styleId="BodyText3Char">
    <w:name w:val="Body Text 3 Char"/>
    <w:basedOn w:val="DefaultParagraphFont"/>
    <w:link w:val="BodyText3"/>
    <w:rsid w:val="00D63645"/>
    <w:rPr>
      <w:rFonts w:ascii="Times New Roman" w:eastAsia="Times New Roman" w:hAnsi="Times New Roman" w:cs="Times New Roman"/>
      <w:sz w:val="16"/>
      <w:szCs w:val="16"/>
    </w:rPr>
  </w:style>
  <w:style w:type="paragraph" w:customStyle="1" w:styleId="Sub-Para1underXY">
    <w:name w:val="Sub-Para 1 under X.Y"/>
    <w:basedOn w:val="Normal"/>
    <w:next w:val="Normal"/>
    <w:rsid w:val="00D63645"/>
    <w:pPr>
      <w:numPr>
        <w:numId w:val="3"/>
      </w:numPr>
      <w:spacing w:after="240"/>
      <w:outlineLvl w:val="2"/>
    </w:pPr>
  </w:style>
  <w:style w:type="paragraph" w:styleId="ListParagraph">
    <w:name w:val="List Paragraph"/>
    <w:aliases w:val="Citation List,본문(내용),List Paragraph (numbered (a)),Colorful List - Accent 11,List Paragraph2,Text,References,سرد الفقرات,Bullets,lp1,List Paragraph nowy,Use Case List Paragraph,sub-procedure"/>
    <w:basedOn w:val="Normal"/>
    <w:link w:val="ListParagraphChar"/>
    <w:uiPriority w:val="34"/>
    <w:qFormat/>
    <w:rsid w:val="008228C7"/>
    <w:pPr>
      <w:ind w:left="720"/>
      <w:contextualSpacing/>
    </w:pPr>
  </w:style>
  <w:style w:type="paragraph" w:customStyle="1" w:styleId="Outline1">
    <w:name w:val="Outline1"/>
    <w:basedOn w:val="Normal"/>
    <w:next w:val="Outline2"/>
    <w:rsid w:val="00BB245A"/>
    <w:pPr>
      <w:keepNext/>
      <w:numPr>
        <w:numId w:val="4"/>
      </w:numPr>
      <w:tabs>
        <w:tab w:val="clear" w:pos="432"/>
        <w:tab w:val="num" w:pos="360"/>
      </w:tabs>
      <w:spacing w:before="240"/>
      <w:ind w:left="360" w:hanging="360"/>
      <w:jc w:val="left"/>
    </w:pPr>
    <w:rPr>
      <w:kern w:val="28"/>
      <w:szCs w:val="20"/>
    </w:rPr>
  </w:style>
  <w:style w:type="paragraph" w:customStyle="1" w:styleId="Outline2">
    <w:name w:val="Outline2"/>
    <w:basedOn w:val="Normal"/>
    <w:rsid w:val="00BB245A"/>
    <w:pPr>
      <w:numPr>
        <w:ilvl w:val="1"/>
        <w:numId w:val="4"/>
      </w:numPr>
      <w:tabs>
        <w:tab w:val="clear" w:pos="1152"/>
        <w:tab w:val="num" w:pos="864"/>
      </w:tabs>
      <w:spacing w:before="240"/>
      <w:ind w:left="864" w:hanging="504"/>
      <w:jc w:val="left"/>
    </w:pPr>
    <w:rPr>
      <w:kern w:val="28"/>
      <w:szCs w:val="20"/>
    </w:rPr>
  </w:style>
  <w:style w:type="paragraph" w:customStyle="1" w:styleId="Outline3">
    <w:name w:val="Outline3"/>
    <w:basedOn w:val="Normal"/>
    <w:rsid w:val="00BB245A"/>
    <w:pPr>
      <w:numPr>
        <w:ilvl w:val="2"/>
        <w:numId w:val="4"/>
      </w:numPr>
      <w:tabs>
        <w:tab w:val="clear" w:pos="1728"/>
        <w:tab w:val="num" w:pos="1368"/>
      </w:tabs>
      <w:spacing w:before="240"/>
      <w:ind w:left="1368" w:hanging="504"/>
      <w:jc w:val="left"/>
    </w:pPr>
    <w:rPr>
      <w:kern w:val="28"/>
      <w:szCs w:val="20"/>
    </w:rPr>
  </w:style>
  <w:style w:type="paragraph" w:customStyle="1" w:styleId="Outline4">
    <w:name w:val="Outline4"/>
    <w:basedOn w:val="Normal"/>
    <w:rsid w:val="00BB245A"/>
    <w:pPr>
      <w:numPr>
        <w:ilvl w:val="3"/>
        <w:numId w:val="4"/>
      </w:numPr>
      <w:tabs>
        <w:tab w:val="clear" w:pos="2304"/>
        <w:tab w:val="num" w:pos="1872"/>
      </w:tabs>
      <w:spacing w:before="240"/>
      <w:ind w:left="1872" w:hanging="504"/>
      <w:jc w:val="left"/>
    </w:pPr>
    <w:rPr>
      <w:kern w:val="28"/>
      <w:szCs w:val="20"/>
    </w:rPr>
  </w:style>
  <w:style w:type="paragraph" w:styleId="Title">
    <w:name w:val="Title"/>
    <w:basedOn w:val="Normal"/>
    <w:link w:val="TitleChar"/>
    <w:qFormat/>
    <w:rsid w:val="00BB245A"/>
    <w:pPr>
      <w:spacing w:line="240" w:lineRule="atLeast"/>
      <w:jc w:val="center"/>
    </w:pPr>
    <w:rPr>
      <w:b/>
      <w:bCs/>
      <w:snapToGrid w:val="0"/>
      <w:color w:val="000000"/>
      <w:szCs w:val="20"/>
    </w:rPr>
  </w:style>
  <w:style w:type="character" w:customStyle="1" w:styleId="TitleChar">
    <w:name w:val="Title Char"/>
    <w:basedOn w:val="DefaultParagraphFont"/>
    <w:link w:val="Title"/>
    <w:rsid w:val="00BB245A"/>
    <w:rPr>
      <w:rFonts w:ascii="Times New Roman" w:eastAsia="Times New Roman" w:hAnsi="Times New Roman" w:cs="Times New Roman"/>
      <w:b/>
      <w:bCs/>
      <w:snapToGrid w:val="0"/>
      <w:color w:val="000000"/>
      <w:sz w:val="24"/>
      <w:szCs w:val="20"/>
    </w:rPr>
  </w:style>
  <w:style w:type="paragraph" w:styleId="NoSpacing">
    <w:name w:val="No Spacing"/>
    <w:link w:val="NoSpacingChar"/>
    <w:uiPriority w:val="1"/>
    <w:qFormat/>
    <w:rsid w:val="004302A7"/>
    <w:pPr>
      <w:spacing w:after="0" w:line="240" w:lineRule="auto"/>
      <w:jc w:val="both"/>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302A7"/>
    <w:rPr>
      <w:rFonts w:ascii="Tahoma" w:hAnsi="Tahoma" w:cs="Tahoma"/>
      <w:sz w:val="16"/>
      <w:szCs w:val="16"/>
    </w:rPr>
  </w:style>
  <w:style w:type="character" w:customStyle="1" w:styleId="BalloonTextChar">
    <w:name w:val="Balloon Text Char"/>
    <w:basedOn w:val="DefaultParagraphFont"/>
    <w:link w:val="BalloonText"/>
    <w:uiPriority w:val="99"/>
    <w:semiHidden/>
    <w:rsid w:val="004302A7"/>
    <w:rPr>
      <w:rFonts w:ascii="Tahoma" w:eastAsia="Times New Roman" w:hAnsi="Tahoma" w:cs="Tahoma"/>
      <w:sz w:val="16"/>
      <w:szCs w:val="16"/>
    </w:rPr>
  </w:style>
  <w:style w:type="paragraph" w:customStyle="1" w:styleId="Clauses">
    <w:name w:val="Clauses"/>
    <w:basedOn w:val="Normal"/>
    <w:rsid w:val="00FA527E"/>
    <w:pPr>
      <w:keepLines/>
      <w:numPr>
        <w:ilvl w:val="2"/>
        <w:numId w:val="7"/>
      </w:numPr>
      <w:tabs>
        <w:tab w:val="clear" w:pos="1712"/>
        <w:tab w:val="num" w:pos="431"/>
      </w:tabs>
      <w:spacing w:after="120"/>
      <w:ind w:left="431" w:hanging="431"/>
      <w:jc w:val="left"/>
      <w:outlineLvl w:val="0"/>
    </w:pPr>
    <w:rPr>
      <w:rFonts w:ascii="Times New Roman Bold" w:hAnsi="Times New Roman Bold"/>
      <w:b/>
      <w:szCs w:val="20"/>
      <w:lang w:val="es-ES_tradnl" w:eastAsia="en-GB"/>
    </w:rPr>
  </w:style>
  <w:style w:type="paragraph" w:styleId="List">
    <w:name w:val="List"/>
    <w:basedOn w:val="Normal"/>
    <w:rsid w:val="00685F20"/>
    <w:pPr>
      <w:ind w:left="283" w:hanging="283"/>
      <w:jc w:val="left"/>
    </w:pPr>
  </w:style>
  <w:style w:type="character" w:customStyle="1" w:styleId="ListParagraphChar">
    <w:name w:val="List Paragraph Char"/>
    <w:aliases w:val="Citation List Char,본문(내용) Char,List Paragraph (numbered (a)) Char,Colorful List - Accent 11 Char,List Paragraph2 Char,Text Char,References Char,سرد الفقرات Char,Bullets Char,lp1 Char,List Paragraph nowy Char,sub-procedure Char"/>
    <w:basedOn w:val="DefaultParagraphFont"/>
    <w:link w:val="ListParagraph"/>
    <w:uiPriority w:val="34"/>
    <w:rsid w:val="0048510C"/>
    <w:rPr>
      <w:rFonts w:ascii="Times New Roman" w:eastAsia="Times New Roman" w:hAnsi="Times New Roman" w:cs="Times New Roman"/>
      <w:sz w:val="24"/>
      <w:szCs w:val="24"/>
    </w:rPr>
  </w:style>
  <w:style w:type="paragraph" w:customStyle="1" w:styleId="Style1">
    <w:name w:val="Style1"/>
    <w:basedOn w:val="NoSpacing"/>
    <w:link w:val="Style1Char"/>
    <w:qFormat/>
    <w:rsid w:val="0087612E"/>
    <w:pPr>
      <w:spacing w:before="120" w:after="120"/>
      <w:jc w:val="center"/>
    </w:pPr>
    <w:rPr>
      <w:b/>
      <w:bCs/>
      <w:sz w:val="32"/>
      <w:szCs w:val="32"/>
    </w:rPr>
  </w:style>
  <w:style w:type="paragraph" w:customStyle="1" w:styleId="Style2">
    <w:name w:val="Style2"/>
    <w:basedOn w:val="Normal"/>
    <w:link w:val="Style2Char"/>
    <w:qFormat/>
    <w:rsid w:val="0087612E"/>
    <w:pPr>
      <w:keepNext/>
      <w:keepLines/>
      <w:spacing w:before="120" w:after="120"/>
      <w:jc w:val="center"/>
      <w:outlineLvl w:val="1"/>
    </w:pPr>
    <w:rPr>
      <w:rFonts w:cs="Arial"/>
      <w:b/>
      <w:bCs/>
      <w:iCs/>
      <w:smallCaps/>
      <w:szCs w:val="28"/>
    </w:rPr>
  </w:style>
  <w:style w:type="character" w:customStyle="1" w:styleId="NoSpacingChar">
    <w:name w:val="No Spacing Char"/>
    <w:basedOn w:val="DefaultParagraphFont"/>
    <w:link w:val="NoSpacing"/>
    <w:uiPriority w:val="1"/>
    <w:rsid w:val="0087612E"/>
    <w:rPr>
      <w:rFonts w:ascii="Times New Roman" w:eastAsia="Times New Roman" w:hAnsi="Times New Roman" w:cs="Times New Roman"/>
      <w:sz w:val="24"/>
      <w:szCs w:val="24"/>
    </w:rPr>
  </w:style>
  <w:style w:type="character" w:customStyle="1" w:styleId="Style1Char">
    <w:name w:val="Style1 Char"/>
    <w:basedOn w:val="NoSpacingChar"/>
    <w:link w:val="Style1"/>
    <w:rsid w:val="0087612E"/>
    <w:rPr>
      <w:rFonts w:ascii="Times New Roman" w:eastAsia="Times New Roman" w:hAnsi="Times New Roman" w:cs="Times New Roman"/>
      <w:b/>
      <w:bCs/>
      <w:sz w:val="32"/>
      <w:szCs w:val="32"/>
    </w:rPr>
  </w:style>
  <w:style w:type="paragraph" w:customStyle="1" w:styleId="Style3">
    <w:name w:val="Style3"/>
    <w:basedOn w:val="Heading1a"/>
    <w:link w:val="Style3Char"/>
    <w:qFormat/>
    <w:rsid w:val="0087612E"/>
  </w:style>
  <w:style w:type="character" w:customStyle="1" w:styleId="Style2Char">
    <w:name w:val="Style2 Char"/>
    <w:basedOn w:val="DefaultParagraphFont"/>
    <w:link w:val="Style2"/>
    <w:rsid w:val="0087612E"/>
    <w:rPr>
      <w:rFonts w:ascii="Times New Roman" w:eastAsia="Times New Roman" w:hAnsi="Times New Roman" w:cs="Arial"/>
      <w:b/>
      <w:bCs/>
      <w:iCs/>
      <w:smallCaps/>
      <w:sz w:val="24"/>
      <w:szCs w:val="28"/>
    </w:rPr>
  </w:style>
  <w:style w:type="paragraph" w:styleId="TOC1">
    <w:name w:val="toc 1"/>
    <w:basedOn w:val="Normal"/>
    <w:next w:val="Normal"/>
    <w:autoRedefine/>
    <w:uiPriority w:val="39"/>
    <w:unhideWhenUsed/>
    <w:rsid w:val="0087612E"/>
    <w:pPr>
      <w:spacing w:after="100"/>
    </w:pPr>
  </w:style>
  <w:style w:type="character" w:customStyle="1" w:styleId="Heading1aChar">
    <w:name w:val="Heading 1a Char"/>
    <w:basedOn w:val="DefaultParagraphFont"/>
    <w:link w:val="Heading1a"/>
    <w:rsid w:val="0087612E"/>
    <w:rPr>
      <w:rFonts w:ascii="Times New Roman" w:eastAsia="Times New Roman" w:hAnsi="Times New Roman" w:cs="Times New Roman"/>
      <w:b/>
      <w:caps/>
      <w:sz w:val="32"/>
      <w:szCs w:val="24"/>
    </w:rPr>
  </w:style>
  <w:style w:type="character" w:customStyle="1" w:styleId="Style3Char">
    <w:name w:val="Style3 Char"/>
    <w:basedOn w:val="Heading1aChar"/>
    <w:link w:val="Style3"/>
    <w:rsid w:val="0087612E"/>
    <w:rPr>
      <w:rFonts w:ascii="Times New Roman" w:eastAsia="Times New Roman" w:hAnsi="Times New Roman" w:cs="Times New Roman"/>
      <w:b/>
      <w:caps/>
      <w:sz w:val="32"/>
      <w:szCs w:val="24"/>
    </w:rPr>
  </w:style>
  <w:style w:type="paragraph" w:styleId="TOC2">
    <w:name w:val="toc 2"/>
    <w:basedOn w:val="Normal"/>
    <w:next w:val="Normal"/>
    <w:autoRedefine/>
    <w:uiPriority w:val="39"/>
    <w:unhideWhenUsed/>
    <w:rsid w:val="0088141D"/>
    <w:pPr>
      <w:tabs>
        <w:tab w:val="left" w:pos="540"/>
        <w:tab w:val="right" w:leader="dot" w:pos="9062"/>
      </w:tabs>
      <w:spacing w:after="100"/>
      <w:ind w:left="240"/>
    </w:pPr>
  </w:style>
  <w:style w:type="paragraph" w:styleId="TOC3">
    <w:name w:val="toc 3"/>
    <w:basedOn w:val="Normal"/>
    <w:next w:val="Normal"/>
    <w:autoRedefine/>
    <w:uiPriority w:val="39"/>
    <w:unhideWhenUsed/>
    <w:rsid w:val="0087612E"/>
    <w:pPr>
      <w:spacing w:after="100"/>
      <w:ind w:left="480"/>
    </w:pPr>
  </w:style>
  <w:style w:type="paragraph" w:customStyle="1" w:styleId="Outline">
    <w:name w:val="Outline"/>
    <w:basedOn w:val="Normal"/>
    <w:rsid w:val="00072A0D"/>
    <w:pPr>
      <w:spacing w:before="240"/>
      <w:jc w:val="left"/>
    </w:pPr>
    <w:rPr>
      <w:kern w:val="28"/>
    </w:rPr>
  </w:style>
  <w:style w:type="character" w:customStyle="1" w:styleId="1">
    <w:name w:val="Неразрешенное упоминание1"/>
    <w:basedOn w:val="DefaultParagraphFont"/>
    <w:uiPriority w:val="99"/>
    <w:semiHidden/>
    <w:unhideWhenUsed/>
    <w:rsid w:val="00C83962"/>
    <w:rPr>
      <w:color w:val="605E5C"/>
      <w:shd w:val="clear" w:color="auto" w:fill="E1DFDD"/>
    </w:rPr>
  </w:style>
  <w:style w:type="character" w:styleId="CommentReference">
    <w:name w:val="annotation reference"/>
    <w:basedOn w:val="DefaultParagraphFont"/>
    <w:uiPriority w:val="99"/>
    <w:semiHidden/>
    <w:unhideWhenUsed/>
    <w:rsid w:val="00555A7D"/>
    <w:rPr>
      <w:sz w:val="16"/>
      <w:szCs w:val="16"/>
    </w:rPr>
  </w:style>
  <w:style w:type="paragraph" w:styleId="CommentText">
    <w:name w:val="annotation text"/>
    <w:basedOn w:val="Normal"/>
    <w:link w:val="CommentTextChar"/>
    <w:uiPriority w:val="99"/>
    <w:semiHidden/>
    <w:unhideWhenUsed/>
    <w:rsid w:val="00555A7D"/>
    <w:rPr>
      <w:sz w:val="20"/>
      <w:szCs w:val="20"/>
    </w:rPr>
  </w:style>
  <w:style w:type="character" w:customStyle="1" w:styleId="CommentTextChar">
    <w:name w:val="Comment Text Char"/>
    <w:basedOn w:val="DefaultParagraphFont"/>
    <w:link w:val="CommentText"/>
    <w:uiPriority w:val="99"/>
    <w:semiHidden/>
    <w:rsid w:val="00555A7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55A7D"/>
    <w:rPr>
      <w:b/>
      <w:bCs/>
    </w:rPr>
  </w:style>
  <w:style w:type="character" w:customStyle="1" w:styleId="CommentSubjectChar">
    <w:name w:val="Comment Subject Char"/>
    <w:basedOn w:val="CommentTextChar"/>
    <w:link w:val="CommentSubject"/>
    <w:uiPriority w:val="99"/>
    <w:semiHidden/>
    <w:rsid w:val="00555A7D"/>
    <w:rPr>
      <w:rFonts w:ascii="Times New Roman" w:eastAsia="Times New Roman" w:hAnsi="Times New Roman" w:cs="Times New Roman"/>
      <w:b/>
      <w:bCs/>
      <w:sz w:val="20"/>
      <w:szCs w:val="20"/>
    </w:rPr>
  </w:style>
  <w:style w:type="table" w:customStyle="1" w:styleId="TableGrid1">
    <w:name w:val="Table Grid1"/>
    <w:basedOn w:val="TableNormal"/>
    <w:next w:val="TableGrid"/>
    <w:rsid w:val="00555A7D"/>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01B7F"/>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B32392"/>
    <w:pPr>
      <w:spacing w:after="0"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A26CB7"/>
    <w:pPr>
      <w:keepLines/>
      <w:spacing w:after="0" w:line="259" w:lineRule="auto"/>
      <w:jc w:val="left"/>
      <w:outlineLvl w:val="9"/>
    </w:pPr>
    <w:rPr>
      <w:rFonts w:asciiTheme="majorHAnsi" w:eastAsiaTheme="majorEastAsia" w:hAnsiTheme="majorHAnsi" w:cstheme="majorBidi"/>
      <w:b w:val="0"/>
      <w:bCs w:val="0"/>
      <w:color w:val="365F91" w:themeColor="accent1" w:themeShade="BF"/>
      <w:kern w:val="0"/>
    </w:rPr>
  </w:style>
  <w:style w:type="paragraph" w:customStyle="1" w:styleId="rvps15596">
    <w:name w:val="rvps1_5596"/>
    <w:basedOn w:val="Normal"/>
    <w:rsid w:val="00615AFB"/>
    <w:pPr>
      <w:spacing w:after="150"/>
      <w:jc w:val="left"/>
    </w:pPr>
    <w:rPr>
      <w:lang w:val="ru-RU" w:eastAsia="ru-RU"/>
    </w:rPr>
  </w:style>
  <w:style w:type="paragraph" w:styleId="HTMLPreformatted">
    <w:name w:val="HTML Preformatted"/>
    <w:basedOn w:val="Normal"/>
    <w:link w:val="HTMLPreformattedChar"/>
    <w:uiPriority w:val="99"/>
    <w:unhideWhenUsed/>
    <w:rsid w:val="00615A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val="ru-RU" w:eastAsia="ru-RU"/>
    </w:rPr>
  </w:style>
  <w:style w:type="character" w:customStyle="1" w:styleId="HTMLPreformattedChar">
    <w:name w:val="HTML Preformatted Char"/>
    <w:basedOn w:val="DefaultParagraphFont"/>
    <w:link w:val="HTMLPreformatted"/>
    <w:uiPriority w:val="99"/>
    <w:rsid w:val="00615AFB"/>
    <w:rPr>
      <w:rFonts w:ascii="Courier New" w:eastAsia="Times New Roman" w:hAnsi="Courier New" w:cs="Courier New"/>
      <w:sz w:val="20"/>
      <w:szCs w:val="20"/>
      <w:lang w:val="ru-RU" w:eastAsia="ru-RU"/>
    </w:rPr>
  </w:style>
  <w:style w:type="character" w:styleId="FollowedHyperlink">
    <w:name w:val="FollowedHyperlink"/>
    <w:basedOn w:val="DefaultParagraphFont"/>
    <w:uiPriority w:val="99"/>
    <w:semiHidden/>
    <w:unhideWhenUsed/>
    <w:rsid w:val="001A55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09768">
      <w:bodyDiv w:val="1"/>
      <w:marLeft w:val="0"/>
      <w:marRight w:val="0"/>
      <w:marTop w:val="0"/>
      <w:marBottom w:val="0"/>
      <w:divBdr>
        <w:top w:val="none" w:sz="0" w:space="0" w:color="auto"/>
        <w:left w:val="none" w:sz="0" w:space="0" w:color="auto"/>
        <w:bottom w:val="none" w:sz="0" w:space="0" w:color="auto"/>
        <w:right w:val="none" w:sz="0" w:space="0" w:color="auto"/>
      </w:divBdr>
    </w:div>
    <w:div w:id="55977462">
      <w:bodyDiv w:val="1"/>
      <w:marLeft w:val="0"/>
      <w:marRight w:val="0"/>
      <w:marTop w:val="0"/>
      <w:marBottom w:val="0"/>
      <w:divBdr>
        <w:top w:val="none" w:sz="0" w:space="0" w:color="auto"/>
        <w:left w:val="none" w:sz="0" w:space="0" w:color="auto"/>
        <w:bottom w:val="none" w:sz="0" w:space="0" w:color="auto"/>
        <w:right w:val="none" w:sz="0" w:space="0" w:color="auto"/>
      </w:divBdr>
    </w:div>
    <w:div w:id="216163814">
      <w:bodyDiv w:val="1"/>
      <w:marLeft w:val="0"/>
      <w:marRight w:val="0"/>
      <w:marTop w:val="0"/>
      <w:marBottom w:val="0"/>
      <w:divBdr>
        <w:top w:val="none" w:sz="0" w:space="0" w:color="auto"/>
        <w:left w:val="none" w:sz="0" w:space="0" w:color="auto"/>
        <w:bottom w:val="none" w:sz="0" w:space="0" w:color="auto"/>
        <w:right w:val="none" w:sz="0" w:space="0" w:color="auto"/>
      </w:divBdr>
    </w:div>
    <w:div w:id="235479077">
      <w:bodyDiv w:val="1"/>
      <w:marLeft w:val="0"/>
      <w:marRight w:val="0"/>
      <w:marTop w:val="0"/>
      <w:marBottom w:val="0"/>
      <w:divBdr>
        <w:top w:val="none" w:sz="0" w:space="0" w:color="auto"/>
        <w:left w:val="none" w:sz="0" w:space="0" w:color="auto"/>
        <w:bottom w:val="none" w:sz="0" w:space="0" w:color="auto"/>
        <w:right w:val="none" w:sz="0" w:space="0" w:color="auto"/>
      </w:divBdr>
    </w:div>
    <w:div w:id="319622090">
      <w:bodyDiv w:val="1"/>
      <w:marLeft w:val="0"/>
      <w:marRight w:val="0"/>
      <w:marTop w:val="0"/>
      <w:marBottom w:val="0"/>
      <w:divBdr>
        <w:top w:val="none" w:sz="0" w:space="0" w:color="auto"/>
        <w:left w:val="none" w:sz="0" w:space="0" w:color="auto"/>
        <w:bottom w:val="none" w:sz="0" w:space="0" w:color="auto"/>
        <w:right w:val="none" w:sz="0" w:space="0" w:color="auto"/>
      </w:divBdr>
    </w:div>
    <w:div w:id="659776770">
      <w:bodyDiv w:val="1"/>
      <w:marLeft w:val="0"/>
      <w:marRight w:val="0"/>
      <w:marTop w:val="0"/>
      <w:marBottom w:val="0"/>
      <w:divBdr>
        <w:top w:val="none" w:sz="0" w:space="0" w:color="auto"/>
        <w:left w:val="none" w:sz="0" w:space="0" w:color="auto"/>
        <w:bottom w:val="none" w:sz="0" w:space="0" w:color="auto"/>
        <w:right w:val="none" w:sz="0" w:space="0" w:color="auto"/>
      </w:divBdr>
    </w:div>
    <w:div w:id="703747954">
      <w:bodyDiv w:val="1"/>
      <w:marLeft w:val="0"/>
      <w:marRight w:val="0"/>
      <w:marTop w:val="0"/>
      <w:marBottom w:val="0"/>
      <w:divBdr>
        <w:top w:val="none" w:sz="0" w:space="0" w:color="auto"/>
        <w:left w:val="none" w:sz="0" w:space="0" w:color="auto"/>
        <w:bottom w:val="none" w:sz="0" w:space="0" w:color="auto"/>
        <w:right w:val="none" w:sz="0" w:space="0" w:color="auto"/>
      </w:divBdr>
    </w:div>
    <w:div w:id="836846953">
      <w:bodyDiv w:val="1"/>
      <w:marLeft w:val="0"/>
      <w:marRight w:val="0"/>
      <w:marTop w:val="0"/>
      <w:marBottom w:val="0"/>
      <w:divBdr>
        <w:top w:val="none" w:sz="0" w:space="0" w:color="auto"/>
        <w:left w:val="none" w:sz="0" w:space="0" w:color="auto"/>
        <w:bottom w:val="none" w:sz="0" w:space="0" w:color="auto"/>
        <w:right w:val="none" w:sz="0" w:space="0" w:color="auto"/>
      </w:divBdr>
    </w:div>
    <w:div w:id="928152157">
      <w:bodyDiv w:val="1"/>
      <w:marLeft w:val="0"/>
      <w:marRight w:val="0"/>
      <w:marTop w:val="0"/>
      <w:marBottom w:val="0"/>
      <w:divBdr>
        <w:top w:val="none" w:sz="0" w:space="0" w:color="auto"/>
        <w:left w:val="none" w:sz="0" w:space="0" w:color="auto"/>
        <w:bottom w:val="none" w:sz="0" w:space="0" w:color="auto"/>
        <w:right w:val="none" w:sz="0" w:space="0" w:color="auto"/>
      </w:divBdr>
    </w:div>
    <w:div w:id="984089988">
      <w:bodyDiv w:val="1"/>
      <w:marLeft w:val="0"/>
      <w:marRight w:val="0"/>
      <w:marTop w:val="0"/>
      <w:marBottom w:val="0"/>
      <w:divBdr>
        <w:top w:val="none" w:sz="0" w:space="0" w:color="auto"/>
        <w:left w:val="none" w:sz="0" w:space="0" w:color="auto"/>
        <w:bottom w:val="none" w:sz="0" w:space="0" w:color="auto"/>
        <w:right w:val="none" w:sz="0" w:space="0" w:color="auto"/>
      </w:divBdr>
    </w:div>
    <w:div w:id="1047484637">
      <w:bodyDiv w:val="1"/>
      <w:marLeft w:val="0"/>
      <w:marRight w:val="0"/>
      <w:marTop w:val="0"/>
      <w:marBottom w:val="0"/>
      <w:divBdr>
        <w:top w:val="none" w:sz="0" w:space="0" w:color="auto"/>
        <w:left w:val="none" w:sz="0" w:space="0" w:color="auto"/>
        <w:bottom w:val="none" w:sz="0" w:space="0" w:color="auto"/>
        <w:right w:val="none" w:sz="0" w:space="0" w:color="auto"/>
      </w:divBdr>
    </w:div>
    <w:div w:id="1074399190">
      <w:bodyDiv w:val="1"/>
      <w:marLeft w:val="0"/>
      <w:marRight w:val="0"/>
      <w:marTop w:val="0"/>
      <w:marBottom w:val="0"/>
      <w:divBdr>
        <w:top w:val="none" w:sz="0" w:space="0" w:color="auto"/>
        <w:left w:val="none" w:sz="0" w:space="0" w:color="auto"/>
        <w:bottom w:val="none" w:sz="0" w:space="0" w:color="auto"/>
        <w:right w:val="none" w:sz="0" w:space="0" w:color="auto"/>
      </w:divBdr>
    </w:div>
    <w:div w:id="1172796424">
      <w:bodyDiv w:val="1"/>
      <w:marLeft w:val="0"/>
      <w:marRight w:val="0"/>
      <w:marTop w:val="0"/>
      <w:marBottom w:val="0"/>
      <w:divBdr>
        <w:top w:val="none" w:sz="0" w:space="0" w:color="auto"/>
        <w:left w:val="none" w:sz="0" w:space="0" w:color="auto"/>
        <w:bottom w:val="none" w:sz="0" w:space="0" w:color="auto"/>
        <w:right w:val="none" w:sz="0" w:space="0" w:color="auto"/>
      </w:divBdr>
    </w:div>
    <w:div w:id="1436561901">
      <w:bodyDiv w:val="1"/>
      <w:marLeft w:val="0"/>
      <w:marRight w:val="0"/>
      <w:marTop w:val="0"/>
      <w:marBottom w:val="0"/>
      <w:divBdr>
        <w:top w:val="none" w:sz="0" w:space="0" w:color="auto"/>
        <w:left w:val="none" w:sz="0" w:space="0" w:color="auto"/>
        <w:bottom w:val="none" w:sz="0" w:space="0" w:color="auto"/>
        <w:right w:val="none" w:sz="0" w:space="0" w:color="auto"/>
      </w:divBdr>
    </w:div>
    <w:div w:id="1533810878">
      <w:bodyDiv w:val="1"/>
      <w:marLeft w:val="0"/>
      <w:marRight w:val="0"/>
      <w:marTop w:val="0"/>
      <w:marBottom w:val="0"/>
      <w:divBdr>
        <w:top w:val="none" w:sz="0" w:space="0" w:color="auto"/>
        <w:left w:val="none" w:sz="0" w:space="0" w:color="auto"/>
        <w:bottom w:val="none" w:sz="0" w:space="0" w:color="auto"/>
        <w:right w:val="none" w:sz="0" w:space="0" w:color="auto"/>
      </w:divBdr>
    </w:div>
    <w:div w:id="1543057290">
      <w:bodyDiv w:val="1"/>
      <w:marLeft w:val="0"/>
      <w:marRight w:val="0"/>
      <w:marTop w:val="0"/>
      <w:marBottom w:val="0"/>
      <w:divBdr>
        <w:top w:val="none" w:sz="0" w:space="0" w:color="auto"/>
        <w:left w:val="none" w:sz="0" w:space="0" w:color="auto"/>
        <w:bottom w:val="none" w:sz="0" w:space="0" w:color="auto"/>
        <w:right w:val="none" w:sz="0" w:space="0" w:color="auto"/>
      </w:divBdr>
      <w:divsChild>
        <w:div w:id="793988470">
          <w:marLeft w:val="0"/>
          <w:marRight w:val="0"/>
          <w:marTop w:val="0"/>
          <w:marBottom w:val="0"/>
          <w:divBdr>
            <w:top w:val="single" w:sz="2" w:space="0" w:color="D9D9E3"/>
            <w:left w:val="single" w:sz="2" w:space="0" w:color="D9D9E3"/>
            <w:bottom w:val="single" w:sz="2" w:space="0" w:color="D9D9E3"/>
            <w:right w:val="single" w:sz="2" w:space="0" w:color="D9D9E3"/>
          </w:divBdr>
          <w:divsChild>
            <w:div w:id="1157963549">
              <w:marLeft w:val="0"/>
              <w:marRight w:val="0"/>
              <w:marTop w:val="0"/>
              <w:marBottom w:val="0"/>
              <w:divBdr>
                <w:top w:val="single" w:sz="2" w:space="0" w:color="D9D9E3"/>
                <w:left w:val="single" w:sz="2" w:space="0" w:color="D9D9E3"/>
                <w:bottom w:val="single" w:sz="2" w:space="0" w:color="D9D9E3"/>
                <w:right w:val="single" w:sz="2" w:space="0" w:color="D9D9E3"/>
              </w:divBdr>
              <w:divsChild>
                <w:div w:id="634137368">
                  <w:marLeft w:val="0"/>
                  <w:marRight w:val="0"/>
                  <w:marTop w:val="0"/>
                  <w:marBottom w:val="0"/>
                  <w:divBdr>
                    <w:top w:val="single" w:sz="2" w:space="0" w:color="D9D9E3"/>
                    <w:left w:val="single" w:sz="2" w:space="0" w:color="D9D9E3"/>
                    <w:bottom w:val="single" w:sz="2" w:space="0" w:color="D9D9E3"/>
                    <w:right w:val="single" w:sz="2" w:space="0" w:color="D9D9E3"/>
                  </w:divBdr>
                  <w:divsChild>
                    <w:div w:id="1392197294">
                      <w:marLeft w:val="0"/>
                      <w:marRight w:val="0"/>
                      <w:marTop w:val="0"/>
                      <w:marBottom w:val="0"/>
                      <w:divBdr>
                        <w:top w:val="single" w:sz="2" w:space="0" w:color="D9D9E3"/>
                        <w:left w:val="single" w:sz="2" w:space="0" w:color="D9D9E3"/>
                        <w:bottom w:val="single" w:sz="2" w:space="0" w:color="D9D9E3"/>
                        <w:right w:val="single" w:sz="2" w:space="0" w:color="D9D9E3"/>
                      </w:divBdr>
                      <w:divsChild>
                        <w:div w:id="2037540063">
                          <w:marLeft w:val="0"/>
                          <w:marRight w:val="0"/>
                          <w:marTop w:val="0"/>
                          <w:marBottom w:val="0"/>
                          <w:divBdr>
                            <w:top w:val="single" w:sz="2" w:space="0" w:color="auto"/>
                            <w:left w:val="single" w:sz="2" w:space="0" w:color="auto"/>
                            <w:bottom w:val="single" w:sz="6" w:space="0" w:color="auto"/>
                            <w:right w:val="single" w:sz="2" w:space="0" w:color="auto"/>
                          </w:divBdr>
                          <w:divsChild>
                            <w:div w:id="2077193801">
                              <w:marLeft w:val="0"/>
                              <w:marRight w:val="0"/>
                              <w:marTop w:val="100"/>
                              <w:marBottom w:val="100"/>
                              <w:divBdr>
                                <w:top w:val="single" w:sz="2" w:space="0" w:color="D9D9E3"/>
                                <w:left w:val="single" w:sz="2" w:space="0" w:color="D9D9E3"/>
                                <w:bottom w:val="single" w:sz="2" w:space="0" w:color="D9D9E3"/>
                                <w:right w:val="single" w:sz="2" w:space="0" w:color="D9D9E3"/>
                              </w:divBdr>
                              <w:divsChild>
                                <w:div w:id="962736605">
                                  <w:marLeft w:val="0"/>
                                  <w:marRight w:val="0"/>
                                  <w:marTop w:val="0"/>
                                  <w:marBottom w:val="0"/>
                                  <w:divBdr>
                                    <w:top w:val="single" w:sz="2" w:space="0" w:color="D9D9E3"/>
                                    <w:left w:val="single" w:sz="2" w:space="0" w:color="D9D9E3"/>
                                    <w:bottom w:val="single" w:sz="2" w:space="0" w:color="D9D9E3"/>
                                    <w:right w:val="single" w:sz="2" w:space="0" w:color="D9D9E3"/>
                                  </w:divBdr>
                                  <w:divsChild>
                                    <w:div w:id="662398347">
                                      <w:marLeft w:val="0"/>
                                      <w:marRight w:val="0"/>
                                      <w:marTop w:val="0"/>
                                      <w:marBottom w:val="0"/>
                                      <w:divBdr>
                                        <w:top w:val="single" w:sz="2" w:space="0" w:color="D9D9E3"/>
                                        <w:left w:val="single" w:sz="2" w:space="0" w:color="D9D9E3"/>
                                        <w:bottom w:val="single" w:sz="2" w:space="0" w:color="D9D9E3"/>
                                        <w:right w:val="single" w:sz="2" w:space="0" w:color="D9D9E3"/>
                                      </w:divBdr>
                                      <w:divsChild>
                                        <w:div w:id="552620038">
                                          <w:marLeft w:val="0"/>
                                          <w:marRight w:val="0"/>
                                          <w:marTop w:val="0"/>
                                          <w:marBottom w:val="0"/>
                                          <w:divBdr>
                                            <w:top w:val="single" w:sz="2" w:space="0" w:color="D9D9E3"/>
                                            <w:left w:val="single" w:sz="2" w:space="0" w:color="D9D9E3"/>
                                            <w:bottom w:val="single" w:sz="2" w:space="0" w:color="D9D9E3"/>
                                            <w:right w:val="single" w:sz="2" w:space="0" w:color="D9D9E3"/>
                                          </w:divBdr>
                                          <w:divsChild>
                                            <w:div w:id="19481971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4236">
          <w:marLeft w:val="0"/>
          <w:marRight w:val="0"/>
          <w:marTop w:val="0"/>
          <w:marBottom w:val="0"/>
          <w:divBdr>
            <w:top w:val="none" w:sz="0" w:space="0" w:color="auto"/>
            <w:left w:val="none" w:sz="0" w:space="0" w:color="auto"/>
            <w:bottom w:val="none" w:sz="0" w:space="0" w:color="auto"/>
            <w:right w:val="none" w:sz="0" w:space="0" w:color="auto"/>
          </w:divBdr>
        </w:div>
      </w:divsChild>
    </w:div>
    <w:div w:id="1558080073">
      <w:bodyDiv w:val="1"/>
      <w:marLeft w:val="0"/>
      <w:marRight w:val="0"/>
      <w:marTop w:val="0"/>
      <w:marBottom w:val="0"/>
      <w:divBdr>
        <w:top w:val="none" w:sz="0" w:space="0" w:color="auto"/>
        <w:left w:val="none" w:sz="0" w:space="0" w:color="auto"/>
        <w:bottom w:val="none" w:sz="0" w:space="0" w:color="auto"/>
        <w:right w:val="none" w:sz="0" w:space="0" w:color="auto"/>
      </w:divBdr>
    </w:div>
    <w:div w:id="1585413147">
      <w:bodyDiv w:val="1"/>
      <w:marLeft w:val="0"/>
      <w:marRight w:val="0"/>
      <w:marTop w:val="0"/>
      <w:marBottom w:val="0"/>
      <w:divBdr>
        <w:top w:val="none" w:sz="0" w:space="0" w:color="auto"/>
        <w:left w:val="none" w:sz="0" w:space="0" w:color="auto"/>
        <w:bottom w:val="none" w:sz="0" w:space="0" w:color="auto"/>
        <w:right w:val="none" w:sz="0" w:space="0" w:color="auto"/>
      </w:divBdr>
    </w:div>
    <w:div w:id="1662734254">
      <w:bodyDiv w:val="1"/>
      <w:marLeft w:val="0"/>
      <w:marRight w:val="0"/>
      <w:marTop w:val="0"/>
      <w:marBottom w:val="0"/>
      <w:divBdr>
        <w:top w:val="none" w:sz="0" w:space="0" w:color="auto"/>
        <w:left w:val="none" w:sz="0" w:space="0" w:color="auto"/>
        <w:bottom w:val="none" w:sz="0" w:space="0" w:color="auto"/>
        <w:right w:val="none" w:sz="0" w:space="0" w:color="auto"/>
      </w:divBdr>
    </w:div>
    <w:div w:id="1827282084">
      <w:bodyDiv w:val="1"/>
      <w:marLeft w:val="0"/>
      <w:marRight w:val="0"/>
      <w:marTop w:val="0"/>
      <w:marBottom w:val="0"/>
      <w:divBdr>
        <w:top w:val="none" w:sz="0" w:space="0" w:color="auto"/>
        <w:left w:val="none" w:sz="0" w:space="0" w:color="auto"/>
        <w:bottom w:val="none" w:sz="0" w:space="0" w:color="auto"/>
        <w:right w:val="none" w:sz="0" w:space="0" w:color="auto"/>
      </w:divBdr>
    </w:div>
    <w:div w:id="1867403333">
      <w:bodyDiv w:val="1"/>
      <w:marLeft w:val="0"/>
      <w:marRight w:val="0"/>
      <w:marTop w:val="0"/>
      <w:marBottom w:val="0"/>
      <w:divBdr>
        <w:top w:val="none" w:sz="0" w:space="0" w:color="auto"/>
        <w:left w:val="none" w:sz="0" w:space="0" w:color="auto"/>
        <w:bottom w:val="none" w:sz="0" w:space="0" w:color="auto"/>
        <w:right w:val="none" w:sz="0" w:space="0" w:color="auto"/>
      </w:divBdr>
    </w:div>
    <w:div w:id="2034961376">
      <w:bodyDiv w:val="1"/>
      <w:marLeft w:val="0"/>
      <w:marRight w:val="0"/>
      <w:marTop w:val="0"/>
      <w:marBottom w:val="0"/>
      <w:divBdr>
        <w:top w:val="none" w:sz="0" w:space="0" w:color="auto"/>
        <w:left w:val="none" w:sz="0" w:space="0" w:color="auto"/>
        <w:bottom w:val="none" w:sz="0" w:space="0" w:color="auto"/>
        <w:right w:val="none" w:sz="0" w:space="0" w:color="auto"/>
      </w:divBdr>
    </w:div>
    <w:div w:id="2073848193">
      <w:bodyDiv w:val="1"/>
      <w:marLeft w:val="0"/>
      <w:marRight w:val="0"/>
      <w:marTop w:val="0"/>
      <w:marBottom w:val="0"/>
      <w:divBdr>
        <w:top w:val="none" w:sz="0" w:space="0" w:color="auto"/>
        <w:left w:val="none" w:sz="0" w:space="0" w:color="auto"/>
        <w:bottom w:val="none" w:sz="0" w:space="0" w:color="auto"/>
        <w:right w:val="none" w:sz="0" w:space="0" w:color="auto"/>
      </w:divBdr>
    </w:div>
    <w:div w:id="211786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C0B2438023A54A960AF1B425D9A3FD" ma:contentTypeVersion="13" ma:contentTypeDescription="Create a new document." ma:contentTypeScope="" ma:versionID="95dd615cbb4912d194f4ae05e436212e">
  <xsd:schema xmlns:xsd="http://www.w3.org/2001/XMLSchema" xmlns:xs="http://www.w3.org/2001/XMLSchema" xmlns:p="http://schemas.microsoft.com/office/2006/metadata/properties" xmlns:ns3="411e25c9-e65c-47ed-8b5f-45a3717ce8f1" xmlns:ns4="7454d625-768b-4c30-ae29-9f1c97607c4e" targetNamespace="http://schemas.microsoft.com/office/2006/metadata/properties" ma:root="true" ma:fieldsID="6997afda783e613e84dc9756ac0de886" ns3:_="" ns4:_="">
    <xsd:import namespace="411e25c9-e65c-47ed-8b5f-45a3717ce8f1"/>
    <xsd:import namespace="7454d625-768b-4c30-ae29-9f1c97607c4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1e25c9-e65c-47ed-8b5f-45a3717ce8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54d625-768b-4c30-ae29-9f1c97607c4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7B621DA-7F2C-4484-893A-00E9D4D2E1B7}">
  <ds:schemaRefs>
    <ds:schemaRef ds:uri="http://schemas.microsoft.com/sharepoint/v3/contenttype/forms"/>
  </ds:schemaRefs>
</ds:datastoreItem>
</file>

<file path=customXml/itemProps2.xml><?xml version="1.0" encoding="utf-8"?>
<ds:datastoreItem xmlns:ds="http://schemas.openxmlformats.org/officeDocument/2006/customXml" ds:itemID="{0DC4C69F-E4A9-46A0-A411-66AA6EA09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1e25c9-e65c-47ed-8b5f-45a3717ce8f1"/>
    <ds:schemaRef ds:uri="7454d625-768b-4c30-ae29-9f1c97607c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B5B66B-9CF6-4802-B7B9-C3BC4362744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E3E7E6-0CE5-4D86-BD03-968B5F232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9</Pages>
  <Words>3383</Words>
  <Characters>19285</Characters>
  <Application>Microsoft Office Word</Application>
  <DocSecurity>0</DocSecurity>
  <Lines>160</Lines>
  <Paragraphs>45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170443</dc:creator>
  <cp:lastModifiedBy>User</cp:lastModifiedBy>
  <cp:revision>7</cp:revision>
  <cp:lastPrinted>2012-05-31T07:00:00Z</cp:lastPrinted>
  <dcterms:created xsi:type="dcterms:W3CDTF">2023-03-30T18:18:00Z</dcterms:created>
  <dcterms:modified xsi:type="dcterms:W3CDTF">2023-12-06T09:43:00Z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0x01010009C0B2438023A54A960AF1B425D9A3FD</vt:lpwstr>
  </property>
</Properties>
</file>