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3F34" w14:textId="77777777" w:rsidR="0001365D" w:rsidRPr="00517E16" w:rsidRDefault="0001365D" w:rsidP="0001365D">
      <w:pPr>
        <w:ind w:right="72"/>
        <w:jc w:val="center"/>
        <w:rPr>
          <w:rFonts w:ascii="CG Times" w:hAnsi="CG Times"/>
          <w:sz w:val="28"/>
          <w:szCs w:val="28"/>
        </w:rPr>
      </w:pPr>
      <w:r w:rsidRPr="00517E16">
        <w:rPr>
          <w:rFonts w:ascii="CG Times" w:hAnsi="CG Times"/>
          <w:b/>
          <w:sz w:val="28"/>
          <w:szCs w:val="28"/>
        </w:rPr>
        <w:t>AVIS GENERAL DE PASSATION DES MARCHES (AGPM)</w:t>
      </w:r>
    </w:p>
    <w:p w14:paraId="2EEB5647" w14:textId="77777777" w:rsidR="0001365D" w:rsidRDefault="0001365D" w:rsidP="0001365D">
      <w:pPr>
        <w:ind w:right="72"/>
        <w:jc w:val="center"/>
        <w:rPr>
          <w:rFonts w:ascii="CG Times" w:hAnsi="CG Times"/>
        </w:rPr>
      </w:pPr>
    </w:p>
    <w:p w14:paraId="1559B7F7" w14:textId="77777777" w:rsidR="0001365D" w:rsidRPr="00563628" w:rsidRDefault="0001365D" w:rsidP="0001365D">
      <w:pPr>
        <w:ind w:right="72"/>
        <w:jc w:val="center"/>
        <w:rPr>
          <w:rFonts w:asciiTheme="majorHAnsi" w:hAnsiTheme="majorHAnsi"/>
          <w:iCs/>
        </w:rPr>
      </w:pPr>
      <w:r w:rsidRPr="00563628">
        <w:rPr>
          <w:rFonts w:asciiTheme="majorHAnsi" w:hAnsiTheme="majorHAnsi"/>
          <w:iCs/>
        </w:rPr>
        <w:t>REPUBLIQUE DE GUINEE</w:t>
      </w:r>
    </w:p>
    <w:p w14:paraId="2DF3395D" w14:textId="77777777" w:rsidR="0001365D" w:rsidRPr="00563628" w:rsidRDefault="0001365D" w:rsidP="0001365D">
      <w:pPr>
        <w:ind w:right="72"/>
        <w:jc w:val="center"/>
        <w:rPr>
          <w:rFonts w:asciiTheme="majorHAnsi" w:hAnsiTheme="majorHAnsi"/>
          <w:iCs/>
        </w:rPr>
      </w:pPr>
    </w:p>
    <w:p w14:paraId="66EC7093" w14:textId="1207EFA0" w:rsidR="0001365D" w:rsidRDefault="0001365D" w:rsidP="0001365D">
      <w:pPr>
        <w:spacing w:after="120"/>
        <w:ind w:right="72"/>
        <w:jc w:val="center"/>
        <w:rPr>
          <w:rFonts w:asciiTheme="majorHAnsi" w:hAnsiTheme="majorHAnsi"/>
          <w:i/>
        </w:rPr>
      </w:pPr>
      <w:r w:rsidRPr="00563628">
        <w:rPr>
          <w:rFonts w:asciiTheme="majorHAnsi" w:hAnsiTheme="majorHAnsi"/>
          <w:i/>
        </w:rPr>
        <w:t xml:space="preserve">PROJET </w:t>
      </w:r>
      <w:r>
        <w:rPr>
          <w:rFonts w:asciiTheme="majorHAnsi" w:hAnsiTheme="majorHAnsi"/>
          <w:i/>
        </w:rPr>
        <w:t xml:space="preserve">DE </w:t>
      </w:r>
      <w:r w:rsidRPr="006E076D">
        <w:rPr>
          <w:rFonts w:asciiTheme="majorHAnsi" w:hAnsiTheme="majorHAnsi"/>
          <w:i/>
        </w:rPr>
        <w:t xml:space="preserve">CONSTRUCTION </w:t>
      </w:r>
      <w:r>
        <w:rPr>
          <w:rFonts w:asciiTheme="majorHAnsi" w:hAnsiTheme="majorHAnsi"/>
          <w:i/>
        </w:rPr>
        <w:t xml:space="preserve">D’UNE </w:t>
      </w:r>
      <w:r w:rsidRPr="006E076D">
        <w:rPr>
          <w:rFonts w:asciiTheme="majorHAnsi" w:hAnsiTheme="majorHAnsi"/>
          <w:i/>
        </w:rPr>
        <w:t xml:space="preserve">CENTRALE THERMIQUE </w:t>
      </w:r>
      <w:r>
        <w:rPr>
          <w:rFonts w:asciiTheme="majorHAnsi" w:hAnsiTheme="majorHAnsi"/>
          <w:i/>
        </w:rPr>
        <w:t xml:space="preserve">DE </w:t>
      </w:r>
      <w:r w:rsidRPr="006E076D">
        <w:rPr>
          <w:rFonts w:asciiTheme="majorHAnsi" w:hAnsiTheme="majorHAnsi"/>
          <w:i/>
        </w:rPr>
        <w:t xml:space="preserve">40 MW </w:t>
      </w:r>
      <w:r>
        <w:rPr>
          <w:rFonts w:asciiTheme="majorHAnsi" w:hAnsiTheme="majorHAnsi"/>
          <w:i/>
        </w:rPr>
        <w:t>A</w:t>
      </w:r>
      <w:r w:rsidRPr="006E076D">
        <w:rPr>
          <w:rFonts w:asciiTheme="majorHAnsi" w:hAnsiTheme="majorHAnsi"/>
          <w:i/>
        </w:rPr>
        <w:t xml:space="preserve"> KANKAN ET </w:t>
      </w:r>
      <w:r>
        <w:rPr>
          <w:rFonts w:asciiTheme="majorHAnsi" w:hAnsiTheme="majorHAnsi"/>
          <w:i/>
        </w:rPr>
        <w:t xml:space="preserve">DE </w:t>
      </w:r>
      <w:r w:rsidRPr="006E076D">
        <w:rPr>
          <w:rFonts w:asciiTheme="majorHAnsi" w:hAnsiTheme="majorHAnsi"/>
          <w:i/>
        </w:rPr>
        <w:t xml:space="preserve">REHABILITATION ET </w:t>
      </w:r>
      <w:r>
        <w:rPr>
          <w:rFonts w:asciiTheme="majorHAnsi" w:hAnsiTheme="majorHAnsi"/>
          <w:i/>
        </w:rPr>
        <w:t>D’</w:t>
      </w:r>
      <w:r w:rsidRPr="006E076D">
        <w:rPr>
          <w:rFonts w:asciiTheme="majorHAnsi" w:hAnsiTheme="majorHAnsi"/>
          <w:i/>
        </w:rPr>
        <w:t>EXTENSION DU RESEAU</w:t>
      </w:r>
      <w:r>
        <w:rPr>
          <w:rFonts w:asciiTheme="majorHAnsi" w:hAnsiTheme="majorHAnsi"/>
          <w:i/>
        </w:rPr>
        <w:t xml:space="preserve"> DE DISTRIBUTION</w:t>
      </w:r>
      <w:r w:rsidRPr="006E076D">
        <w:rPr>
          <w:rFonts w:asciiTheme="majorHAnsi" w:hAnsiTheme="majorHAnsi"/>
          <w:i/>
        </w:rPr>
        <w:t xml:space="preserve"> MT/BT DE KOUROUSSA ET SEIZE (16) LOCALITES ENVIRONNANTES</w:t>
      </w:r>
    </w:p>
    <w:p w14:paraId="17A79A0C" w14:textId="77777777" w:rsidR="0001365D" w:rsidRPr="00517E16" w:rsidRDefault="0001365D" w:rsidP="0001365D">
      <w:pPr>
        <w:spacing w:after="120"/>
        <w:ind w:right="72"/>
        <w:jc w:val="both"/>
        <w:rPr>
          <w:rFonts w:ascii="CG Times" w:hAnsi="CG Times"/>
          <w:iCs/>
        </w:rPr>
      </w:pPr>
      <w:r w:rsidRPr="00517E16">
        <w:rPr>
          <w:rFonts w:ascii="CG Times" w:hAnsi="CG Times"/>
          <w:iCs/>
        </w:rPr>
        <w:t>Secteur</w:t>
      </w:r>
      <w:r>
        <w:rPr>
          <w:rFonts w:ascii="CG Times" w:hAnsi="CG Times"/>
          <w:iCs/>
        </w:rPr>
        <w:t> : ENERGIE</w:t>
      </w:r>
    </w:p>
    <w:p w14:paraId="13CD8A0A" w14:textId="77777777" w:rsidR="0001365D" w:rsidRPr="00517E16" w:rsidRDefault="0001365D" w:rsidP="0001365D">
      <w:pPr>
        <w:ind w:right="72"/>
        <w:jc w:val="both"/>
        <w:rPr>
          <w:rFonts w:ascii="CG Times" w:hAnsi="CG Times"/>
          <w:iCs/>
        </w:rPr>
      </w:pPr>
      <w:r>
        <w:rPr>
          <w:rFonts w:ascii="CG Times" w:hAnsi="CG Times"/>
          <w:iCs/>
        </w:rPr>
        <w:t xml:space="preserve">Mode de financement : LEASING &amp; VENTE A TEMPERAMENT </w:t>
      </w:r>
    </w:p>
    <w:p w14:paraId="4F3566A4" w14:textId="77777777" w:rsidR="0001365D" w:rsidRPr="00517E16" w:rsidRDefault="0001365D" w:rsidP="0001365D">
      <w:pPr>
        <w:ind w:right="72"/>
        <w:jc w:val="both"/>
        <w:rPr>
          <w:rFonts w:ascii="CG Times" w:hAnsi="CG Times"/>
          <w:iCs/>
        </w:rPr>
      </w:pPr>
      <w:r>
        <w:rPr>
          <w:rFonts w:ascii="CG Times" w:hAnsi="CG Times"/>
          <w:iCs/>
        </w:rPr>
        <w:t>No du Financement : GIN 1057</w:t>
      </w:r>
    </w:p>
    <w:p w14:paraId="4EAF8695" w14:textId="77777777" w:rsidR="0001365D" w:rsidRPr="0060428B" w:rsidRDefault="0001365D" w:rsidP="0001365D">
      <w:pPr>
        <w:spacing w:after="120"/>
        <w:ind w:right="72"/>
        <w:jc w:val="both"/>
        <w:rPr>
          <w:rFonts w:ascii="CG Times" w:hAnsi="CG Times"/>
          <w:sz w:val="16"/>
          <w:szCs w:val="16"/>
        </w:rPr>
      </w:pPr>
    </w:p>
    <w:p w14:paraId="3ECAD646" w14:textId="117FE35A" w:rsidR="0001365D" w:rsidRPr="00F938D9" w:rsidRDefault="0001365D" w:rsidP="0001365D">
      <w:pPr>
        <w:spacing w:after="120"/>
        <w:ind w:right="72"/>
        <w:jc w:val="both"/>
        <w:rPr>
          <w:i/>
          <w:iCs/>
        </w:rPr>
      </w:pPr>
      <w:r w:rsidRPr="00FB21FA">
        <w:rPr>
          <w:rFonts w:ascii="CG Times" w:hAnsi="CG Times"/>
        </w:rPr>
        <w:t xml:space="preserve">Le Gouvernement de la République de Guinée </w:t>
      </w:r>
      <w:r w:rsidRPr="00D4629B">
        <w:rPr>
          <w:rFonts w:ascii="CG Times" w:hAnsi="CG Times"/>
        </w:rPr>
        <w:t>a obtenu</w:t>
      </w:r>
      <w:r>
        <w:rPr>
          <w:rFonts w:ascii="CG Times" w:hAnsi="CG Times"/>
        </w:rPr>
        <w:t xml:space="preserve"> un financement d’un montant </w:t>
      </w:r>
      <w:r w:rsidR="007749B5">
        <w:rPr>
          <w:rFonts w:ascii="CG Times" w:hAnsi="CG Times"/>
        </w:rPr>
        <w:t xml:space="preserve">                       </w:t>
      </w:r>
      <w:r>
        <w:rPr>
          <w:rFonts w:ascii="CG Times" w:hAnsi="CG Times"/>
        </w:rPr>
        <w:t xml:space="preserve">de </w:t>
      </w:r>
      <w:r w:rsidRPr="007749B5">
        <w:rPr>
          <w:rFonts w:ascii="CG Times" w:hAnsi="CG Times"/>
          <w:b/>
          <w:bCs/>
        </w:rPr>
        <w:t>81</w:t>
      </w:r>
      <w:r w:rsidR="005C377C">
        <w:rPr>
          <w:rFonts w:ascii="CG Times" w:hAnsi="CG Times"/>
          <w:b/>
          <w:bCs/>
        </w:rPr>
        <w:t xml:space="preserve"> </w:t>
      </w:r>
      <w:r w:rsidR="007749B5" w:rsidRPr="007749B5">
        <w:rPr>
          <w:rFonts w:ascii="CG Times" w:hAnsi="CG Times"/>
          <w:b/>
          <w:bCs/>
        </w:rPr>
        <w:t>188 624</w:t>
      </w:r>
      <w:r w:rsidRPr="007749B5">
        <w:rPr>
          <w:rFonts w:ascii="CG Times" w:hAnsi="CG Times"/>
          <w:b/>
          <w:bCs/>
        </w:rPr>
        <w:t xml:space="preserve"> Dollars US</w:t>
      </w:r>
      <w:r>
        <w:rPr>
          <w:rFonts w:ascii="CG Times" w:hAnsi="CG Times"/>
        </w:rPr>
        <w:t xml:space="preserve"> sous la forme de Leasing et de Vente à Tempérament de la Banque Islamique de Développement (BID) pour financer le </w:t>
      </w:r>
      <w:r w:rsidRPr="002C5E83">
        <w:rPr>
          <w:rFonts w:ascii="CG Times" w:hAnsi="CG Times"/>
          <w:b/>
          <w:bCs/>
        </w:rPr>
        <w:t xml:space="preserve">Projet de construction d’une centrale thermique </w:t>
      </w:r>
      <w:r>
        <w:rPr>
          <w:rFonts w:ascii="CG Times" w:hAnsi="CG Times"/>
          <w:b/>
          <w:bCs/>
        </w:rPr>
        <w:t xml:space="preserve">HFO </w:t>
      </w:r>
      <w:r w:rsidRPr="002C5E83">
        <w:rPr>
          <w:rFonts w:ascii="CG Times" w:hAnsi="CG Times"/>
          <w:b/>
          <w:bCs/>
        </w:rPr>
        <w:t xml:space="preserve">de 40 MW </w:t>
      </w:r>
      <w:r>
        <w:rPr>
          <w:rFonts w:ascii="CG Times" w:hAnsi="CG Times"/>
          <w:b/>
          <w:bCs/>
        </w:rPr>
        <w:t xml:space="preserve">à </w:t>
      </w:r>
      <w:r w:rsidRPr="002C5E83">
        <w:rPr>
          <w:rFonts w:ascii="CG Times" w:hAnsi="CG Times"/>
          <w:b/>
          <w:bCs/>
        </w:rPr>
        <w:t xml:space="preserve">Kankan et de réhabilitation et </w:t>
      </w:r>
      <w:r>
        <w:rPr>
          <w:rFonts w:ascii="CG Times" w:hAnsi="CG Times"/>
          <w:b/>
          <w:bCs/>
        </w:rPr>
        <w:t>d’</w:t>
      </w:r>
      <w:r w:rsidRPr="002C5E83">
        <w:rPr>
          <w:rFonts w:ascii="CG Times" w:hAnsi="CG Times"/>
          <w:b/>
          <w:bCs/>
        </w:rPr>
        <w:t>extension du réseau</w:t>
      </w:r>
      <w:r>
        <w:rPr>
          <w:rFonts w:ascii="CG Times" w:hAnsi="CG Times"/>
          <w:b/>
          <w:bCs/>
        </w:rPr>
        <w:t xml:space="preserve"> de distribution</w:t>
      </w:r>
      <w:r w:rsidRPr="002C5E83">
        <w:rPr>
          <w:rFonts w:ascii="CG Times" w:hAnsi="CG Times"/>
          <w:b/>
          <w:bCs/>
        </w:rPr>
        <w:t xml:space="preserve"> MT/BT de Kouroussa et seize (16) localités environnantes</w:t>
      </w:r>
      <w:r>
        <w:rPr>
          <w:rFonts w:ascii="CG Times" w:hAnsi="CG Times"/>
        </w:rPr>
        <w:t xml:space="preserve"> </w:t>
      </w:r>
      <w:r w:rsidRPr="00F938D9">
        <w:t xml:space="preserve">et à l’intention d’utiliser une partie de ce </w:t>
      </w:r>
      <w:r w:rsidRPr="00F938D9">
        <w:rPr>
          <w:iCs/>
        </w:rPr>
        <w:t>financement</w:t>
      </w:r>
      <w:r w:rsidRPr="00F938D9">
        <w:t xml:space="preserve"> pour effectuer des paiements </w:t>
      </w:r>
      <w:r>
        <w:t xml:space="preserve">pour l’acquisition de biens, travaux et services connexes et de services de consultants nécessaires dans le cadre de ce projet. </w:t>
      </w:r>
      <w:r w:rsidRPr="00F938D9">
        <w:t xml:space="preserve"> </w:t>
      </w:r>
    </w:p>
    <w:p w14:paraId="068B1499" w14:textId="77777777" w:rsidR="0001365D" w:rsidRDefault="0001365D" w:rsidP="0001365D">
      <w:pPr>
        <w:spacing w:after="120"/>
        <w:ind w:right="72"/>
        <w:jc w:val="both"/>
        <w:rPr>
          <w:rFonts w:ascii="CG Times" w:hAnsi="CG Times"/>
        </w:rPr>
      </w:pPr>
      <w:r>
        <w:rPr>
          <w:rFonts w:ascii="CG Times" w:hAnsi="CG Times"/>
        </w:rPr>
        <w:t xml:space="preserve">Le projet comprendra les composantes suivantes : </w:t>
      </w:r>
    </w:p>
    <w:p w14:paraId="20A1EAE8" w14:textId="77777777" w:rsidR="0001365D" w:rsidRPr="001611C2" w:rsidRDefault="0001365D" w:rsidP="0001365D">
      <w:pPr>
        <w:pStyle w:val="Paragraphedeliste"/>
        <w:numPr>
          <w:ilvl w:val="0"/>
          <w:numId w:val="3"/>
        </w:numPr>
        <w:spacing w:line="264" w:lineRule="auto"/>
        <w:ind w:right="72"/>
        <w:jc w:val="both"/>
      </w:pPr>
      <w:r w:rsidRPr="001611C2">
        <w:rPr>
          <w:b/>
        </w:rPr>
        <w:t xml:space="preserve">Composante </w:t>
      </w:r>
      <w:r>
        <w:rPr>
          <w:b/>
        </w:rPr>
        <w:t>A</w:t>
      </w:r>
      <w:r w:rsidRPr="001611C2">
        <w:rPr>
          <w:b/>
        </w:rPr>
        <w:t xml:space="preserve"> :</w:t>
      </w:r>
      <w:r w:rsidRPr="001611C2">
        <w:t xml:space="preserve"> </w:t>
      </w:r>
      <w:r>
        <w:t xml:space="preserve">  </w:t>
      </w:r>
      <w:r w:rsidRPr="002F23D2">
        <w:rPr>
          <w:b/>
          <w:bCs/>
        </w:rPr>
        <w:t>Travaux</w:t>
      </w:r>
    </w:p>
    <w:p w14:paraId="7EBD7808" w14:textId="77777777" w:rsidR="0001365D" w:rsidRDefault="0001365D" w:rsidP="0001365D">
      <w:pPr>
        <w:ind w:right="72"/>
        <w:jc w:val="both"/>
      </w:pPr>
      <w:r w:rsidRPr="00731D29">
        <w:t xml:space="preserve">Cette composante comprend la construction clé en main d’une centrale en fuel HFO </w:t>
      </w:r>
      <w:r>
        <w:t xml:space="preserve">et </w:t>
      </w:r>
      <w:r w:rsidRPr="00731D29">
        <w:t xml:space="preserve">diesel 40 MW </w:t>
      </w:r>
      <w:r>
        <w:t>à</w:t>
      </w:r>
      <w:r w:rsidRPr="00731D29">
        <w:t xml:space="preserve"> Kankan ; la réhabilitation et extension du réseau MT/BT de Kouroussa et seize (16) localités environnantes et la fourniture et pose de compteurs et accessoires de branchement.</w:t>
      </w:r>
    </w:p>
    <w:p w14:paraId="45B2BC1F" w14:textId="77777777" w:rsidR="0001365D" w:rsidRPr="0060428B" w:rsidRDefault="0001365D" w:rsidP="0001365D">
      <w:pPr>
        <w:ind w:left="360" w:right="72"/>
        <w:jc w:val="both"/>
        <w:rPr>
          <w:sz w:val="16"/>
          <w:szCs w:val="16"/>
        </w:rPr>
      </w:pPr>
    </w:p>
    <w:p w14:paraId="74E7DCC8" w14:textId="77777777" w:rsidR="0001365D" w:rsidRPr="005A1B4B" w:rsidRDefault="0001365D" w:rsidP="0001365D">
      <w:pPr>
        <w:pStyle w:val="Paragraphedeliste"/>
        <w:numPr>
          <w:ilvl w:val="0"/>
          <w:numId w:val="3"/>
        </w:numPr>
        <w:spacing w:line="264" w:lineRule="auto"/>
        <w:ind w:right="72"/>
        <w:jc w:val="both"/>
      </w:pPr>
      <w:r w:rsidRPr="005A1B4B">
        <w:rPr>
          <w:b/>
        </w:rPr>
        <w:t xml:space="preserve">Composante </w:t>
      </w:r>
      <w:r>
        <w:rPr>
          <w:b/>
        </w:rPr>
        <w:t>B</w:t>
      </w:r>
      <w:r w:rsidRPr="005A1B4B">
        <w:rPr>
          <w:b/>
        </w:rPr>
        <w:t xml:space="preserve"> :</w:t>
      </w:r>
      <w:r w:rsidRPr="005A1B4B">
        <w:t xml:space="preserve"> </w:t>
      </w:r>
      <w:r>
        <w:t xml:space="preserve"> </w:t>
      </w:r>
      <w:r>
        <w:rPr>
          <w:b/>
          <w:bCs/>
        </w:rPr>
        <w:t>Services consultants</w:t>
      </w:r>
      <w:r w:rsidRPr="005A1B4B">
        <w:t xml:space="preserve"> </w:t>
      </w:r>
    </w:p>
    <w:p w14:paraId="7E0DD798" w14:textId="77777777" w:rsidR="0001365D" w:rsidRPr="000F1CB9" w:rsidRDefault="0001365D" w:rsidP="0001365D">
      <w:pPr>
        <w:ind w:right="72"/>
        <w:jc w:val="both"/>
      </w:pPr>
      <w:r w:rsidRPr="002F23D2">
        <w:t>Elle comprend les activités relatives</w:t>
      </w:r>
      <w:r>
        <w:t> </w:t>
      </w:r>
      <w:r w:rsidRPr="009153CE">
        <w:t>aux</w:t>
      </w:r>
      <w:r>
        <w:t xml:space="preserve"> </w:t>
      </w:r>
      <w:bookmarkStart w:id="0" w:name="_Hlk175975044"/>
      <w:r w:rsidRPr="009153CE">
        <w:t xml:space="preserve">contrôles et supervisions des travaux de construction de la centrale thermique 40 MW, des travaux de construction du réseau de distribution de Kouroussa </w:t>
      </w:r>
      <w:r>
        <w:t xml:space="preserve">et seize </w:t>
      </w:r>
      <w:r w:rsidRPr="00516FFB">
        <w:t>(16) localités environnantes et pose de compteurs et accessoires de branchement</w:t>
      </w:r>
      <w:r w:rsidRPr="009153CE">
        <w:t> ;</w:t>
      </w:r>
      <w:r>
        <w:t xml:space="preserve"> le</w:t>
      </w:r>
      <w:r w:rsidRPr="00516FFB">
        <w:t>s études technique</w:t>
      </w:r>
      <w:r>
        <w:t>s</w:t>
      </w:r>
      <w:r w:rsidRPr="00516FFB">
        <w:t>, environnement</w:t>
      </w:r>
      <w:r>
        <w:t>ales</w:t>
      </w:r>
      <w:r w:rsidRPr="00516FFB">
        <w:t xml:space="preserve"> et social</w:t>
      </w:r>
      <w:r>
        <w:t>es</w:t>
      </w:r>
      <w:r w:rsidRPr="00516FFB">
        <w:t xml:space="preserve"> et analyse des risques d’une centrale solaire 50 de 100 MWc modulables</w:t>
      </w:r>
      <w:r>
        <w:t xml:space="preserve"> ; </w:t>
      </w:r>
      <w:r w:rsidRPr="000F1CB9">
        <w:t>l’élaboration du rapport d’évaluation mi-parcours du projet et d’achèvement du projet.</w:t>
      </w:r>
    </w:p>
    <w:bookmarkEnd w:id="0"/>
    <w:p w14:paraId="7414D4A2" w14:textId="77777777" w:rsidR="0001365D" w:rsidRPr="0060428B" w:rsidRDefault="0001365D" w:rsidP="0001365D">
      <w:pPr>
        <w:ind w:right="72"/>
        <w:jc w:val="both"/>
        <w:rPr>
          <w:sz w:val="16"/>
          <w:szCs w:val="16"/>
        </w:rPr>
      </w:pPr>
    </w:p>
    <w:p w14:paraId="5E2E32C7" w14:textId="77777777" w:rsidR="0001365D" w:rsidRPr="002F23D2" w:rsidRDefault="0001365D" w:rsidP="0001365D">
      <w:pPr>
        <w:ind w:right="72"/>
        <w:jc w:val="both"/>
      </w:pPr>
      <w:r w:rsidRPr="002F23D2">
        <w:t xml:space="preserve">Les supervisions comprendront toutes les tâches nécessaires pour s'assurer que toutes les spécifications techniques sont respectées pendant la phase des constructions et des suivis étroits des entrepreneurs </w:t>
      </w:r>
      <w:r>
        <w:t xml:space="preserve">pour éviter toute </w:t>
      </w:r>
      <w:r w:rsidRPr="002F23D2">
        <w:t>déviation des spécifications consignées dans les contrats.</w:t>
      </w:r>
    </w:p>
    <w:p w14:paraId="2D5ED3BC" w14:textId="77777777" w:rsidR="0001365D" w:rsidRPr="0060428B" w:rsidRDefault="0001365D" w:rsidP="0001365D">
      <w:pPr>
        <w:ind w:right="72"/>
        <w:jc w:val="both"/>
        <w:rPr>
          <w:sz w:val="16"/>
          <w:szCs w:val="16"/>
        </w:rPr>
      </w:pPr>
    </w:p>
    <w:p w14:paraId="29EDAC2A" w14:textId="77777777" w:rsidR="0001365D" w:rsidRDefault="0001365D" w:rsidP="0001365D">
      <w:pPr>
        <w:ind w:right="72"/>
        <w:jc w:val="both"/>
      </w:pPr>
      <w:r>
        <w:t>L</w:t>
      </w:r>
      <w:r w:rsidRPr="002F23D2">
        <w:t xml:space="preserve">a </w:t>
      </w:r>
      <w:r>
        <w:t>réalisation d</w:t>
      </w:r>
      <w:r w:rsidRPr="002F23D2">
        <w:t>es études de faisabilité technique, d’impact</w:t>
      </w:r>
      <w:r>
        <w:t>s</w:t>
      </w:r>
      <w:r w:rsidRPr="002F23D2">
        <w:t xml:space="preserve"> environnement</w:t>
      </w:r>
      <w:r>
        <w:t>al et</w:t>
      </w:r>
      <w:r w:rsidRPr="002F23D2">
        <w:t xml:space="preserve"> social et de l’analyse des risques d’une centrale solaire photovoltaïque 100 MWc modulables</w:t>
      </w:r>
      <w:r>
        <w:t>.</w:t>
      </w:r>
    </w:p>
    <w:p w14:paraId="1DF28B12" w14:textId="77777777" w:rsidR="0001365D" w:rsidRPr="0060428B" w:rsidRDefault="0001365D" w:rsidP="0001365D">
      <w:pPr>
        <w:ind w:right="72"/>
        <w:jc w:val="both"/>
        <w:rPr>
          <w:sz w:val="16"/>
          <w:szCs w:val="16"/>
        </w:rPr>
      </w:pPr>
    </w:p>
    <w:p w14:paraId="7CCDF3C6" w14:textId="77777777" w:rsidR="0001365D" w:rsidRPr="002F23D2" w:rsidRDefault="0001365D" w:rsidP="0001365D">
      <w:pPr>
        <w:pStyle w:val="Paragraphedeliste"/>
        <w:numPr>
          <w:ilvl w:val="0"/>
          <w:numId w:val="3"/>
        </w:numPr>
        <w:spacing w:line="264" w:lineRule="auto"/>
        <w:ind w:right="72"/>
        <w:jc w:val="both"/>
        <w:rPr>
          <w:rFonts w:ascii="CG Times" w:hAnsi="CG Times"/>
        </w:rPr>
      </w:pPr>
      <w:r w:rsidRPr="002F23D2">
        <w:rPr>
          <w:b/>
        </w:rPr>
        <w:t>Composante C : Appui à l’Unité de Gestion du Projet</w:t>
      </w:r>
    </w:p>
    <w:p w14:paraId="040DE2A7" w14:textId="77777777" w:rsidR="0001365D" w:rsidRDefault="0001365D" w:rsidP="0001365D">
      <w:pPr>
        <w:jc w:val="both"/>
      </w:pPr>
      <w:r w:rsidRPr="00F42155">
        <w:t>L'appui institutionnel proposé comprend : (i) les rémunérations des experts ; (ii) les mobiliers de bureau ; (iii) les matériels informatiques, (iv) Matériel roulant et leur entretien, (v) les charges opérationnelles de l’UGP et (vi) la formation des cadres de l’UGP.</w:t>
      </w:r>
    </w:p>
    <w:p w14:paraId="23BCCD8D" w14:textId="77777777" w:rsidR="0001365D" w:rsidRDefault="0001365D" w:rsidP="0001365D">
      <w:pPr>
        <w:jc w:val="both"/>
      </w:pPr>
    </w:p>
    <w:p w14:paraId="661D088B" w14:textId="77777777" w:rsidR="0001365D" w:rsidRPr="002F23D2" w:rsidRDefault="0001365D" w:rsidP="0001365D">
      <w:pPr>
        <w:pStyle w:val="Paragraphedeliste"/>
        <w:numPr>
          <w:ilvl w:val="0"/>
          <w:numId w:val="3"/>
        </w:numPr>
        <w:spacing w:line="264" w:lineRule="auto"/>
        <w:ind w:right="72"/>
        <w:jc w:val="both"/>
        <w:rPr>
          <w:rFonts w:ascii="CG Times" w:hAnsi="CG Times"/>
          <w:b/>
          <w:bCs/>
        </w:rPr>
      </w:pPr>
      <w:bookmarkStart w:id="1" w:name="_Hlk176250812"/>
      <w:r>
        <w:t xml:space="preserve"> </w:t>
      </w:r>
      <w:r w:rsidRPr="002F23D2">
        <w:rPr>
          <w:b/>
          <w:bCs/>
        </w:rPr>
        <w:t xml:space="preserve">Composante D : Audit Financier et audit </w:t>
      </w:r>
      <w:bookmarkStart w:id="2" w:name="_Hlk193184990"/>
      <w:r w:rsidRPr="002F23D2">
        <w:rPr>
          <w:b/>
          <w:bCs/>
        </w:rPr>
        <w:t>environnemental et social</w:t>
      </w:r>
      <w:bookmarkEnd w:id="2"/>
    </w:p>
    <w:p w14:paraId="02DDB67C" w14:textId="77777777" w:rsidR="0001365D" w:rsidRDefault="0001365D" w:rsidP="0001365D">
      <w:pPr>
        <w:jc w:val="both"/>
        <w:rPr>
          <w:rFonts w:ascii="CG Times" w:hAnsi="CG Times"/>
        </w:rPr>
      </w:pPr>
      <w:r w:rsidRPr="00F42155">
        <w:rPr>
          <w:rFonts w:ascii="CG Times" w:hAnsi="CG Times"/>
        </w:rPr>
        <w:t>Des cabinets d'audit qualifiés et indépendants seront recrutés pour vérifier l</w:t>
      </w:r>
      <w:r>
        <w:rPr>
          <w:rFonts w:ascii="CG Times" w:hAnsi="CG Times"/>
        </w:rPr>
        <w:t xml:space="preserve">es </w:t>
      </w:r>
      <w:r w:rsidRPr="00F42155">
        <w:rPr>
          <w:rFonts w:ascii="CG Times" w:hAnsi="CG Times"/>
        </w:rPr>
        <w:t>état</w:t>
      </w:r>
      <w:r>
        <w:rPr>
          <w:rFonts w:ascii="CG Times" w:hAnsi="CG Times"/>
        </w:rPr>
        <w:t>s</w:t>
      </w:r>
      <w:r w:rsidRPr="00F42155">
        <w:rPr>
          <w:rFonts w:ascii="CG Times" w:hAnsi="CG Times"/>
        </w:rPr>
        <w:t xml:space="preserve"> financier</w:t>
      </w:r>
      <w:r>
        <w:rPr>
          <w:rFonts w:ascii="CG Times" w:hAnsi="CG Times"/>
        </w:rPr>
        <w:t>s</w:t>
      </w:r>
      <w:r w:rsidRPr="00F42155">
        <w:rPr>
          <w:rFonts w:ascii="CG Times" w:hAnsi="CG Times"/>
        </w:rPr>
        <w:t xml:space="preserve"> et respect</w:t>
      </w:r>
      <w:r>
        <w:rPr>
          <w:rFonts w:ascii="CG Times" w:hAnsi="CG Times"/>
        </w:rPr>
        <w:t>er</w:t>
      </w:r>
      <w:r w:rsidRPr="00F42155">
        <w:rPr>
          <w:rFonts w:ascii="CG Times" w:hAnsi="CG Times"/>
        </w:rPr>
        <w:t xml:space="preserve"> des normes et exigence</w:t>
      </w:r>
      <w:r>
        <w:rPr>
          <w:rFonts w:ascii="CG Times" w:hAnsi="CG Times"/>
        </w:rPr>
        <w:t>s</w:t>
      </w:r>
      <w:r w:rsidRPr="00F42155">
        <w:rPr>
          <w:rFonts w:ascii="CG Times" w:hAnsi="CG Times"/>
        </w:rPr>
        <w:t xml:space="preserve"> environnementales et sociales du projet. </w:t>
      </w:r>
    </w:p>
    <w:p w14:paraId="0EAE5B70" w14:textId="77777777" w:rsidR="0001365D" w:rsidRPr="0060428B" w:rsidRDefault="0001365D" w:rsidP="0001365D">
      <w:pPr>
        <w:jc w:val="both"/>
        <w:rPr>
          <w:rFonts w:ascii="CG Times" w:hAnsi="CG Times"/>
          <w:sz w:val="16"/>
          <w:szCs w:val="16"/>
        </w:rPr>
      </w:pPr>
    </w:p>
    <w:p w14:paraId="51F6877E" w14:textId="77777777" w:rsidR="0001365D" w:rsidRDefault="0001365D" w:rsidP="0001365D">
      <w:pPr>
        <w:jc w:val="both"/>
        <w:rPr>
          <w:rFonts w:ascii="CG Times" w:hAnsi="CG Times"/>
        </w:rPr>
      </w:pPr>
      <w:r w:rsidRPr="00F42155">
        <w:rPr>
          <w:rFonts w:ascii="CG Times" w:hAnsi="CG Times"/>
        </w:rPr>
        <w:t>L'audit</w:t>
      </w:r>
      <w:r>
        <w:rPr>
          <w:rFonts w:ascii="CG Times" w:hAnsi="CG Times"/>
        </w:rPr>
        <w:t xml:space="preserve"> financier</w:t>
      </w:r>
      <w:r w:rsidRPr="00F42155">
        <w:rPr>
          <w:rFonts w:ascii="CG Times" w:hAnsi="CG Times"/>
        </w:rPr>
        <w:t xml:space="preserve"> comprendra : (a) l'évaluation de l'adéquation des systèmes de comptabilité et de contrôle interne pour suivre les dépenses et autres transactions financières et assurer la garde des actifs financés par le projet, (b) la détermination du fait que le bénéficiaire a maintenu une documentation adéquate sur toutes les transactions pertinentes, (c) la vérification que les dépenses soumises à la Banque sont éligibles au financement, et (d) l'identification de toute dépense inéligible.</w:t>
      </w:r>
    </w:p>
    <w:p w14:paraId="79B8D944" w14:textId="77777777" w:rsidR="0001365D" w:rsidRPr="0060428B" w:rsidRDefault="0001365D" w:rsidP="0001365D">
      <w:pPr>
        <w:jc w:val="both"/>
        <w:rPr>
          <w:rFonts w:ascii="CG Times" w:hAnsi="CG Times"/>
          <w:sz w:val="16"/>
          <w:szCs w:val="16"/>
        </w:rPr>
      </w:pPr>
    </w:p>
    <w:p w14:paraId="43740681" w14:textId="77777777" w:rsidR="0001365D" w:rsidRDefault="0001365D" w:rsidP="0001365D">
      <w:pPr>
        <w:jc w:val="both"/>
        <w:rPr>
          <w:rFonts w:ascii="CG Times" w:hAnsi="CG Times"/>
        </w:rPr>
      </w:pPr>
      <w:r w:rsidRPr="000817C8">
        <w:rPr>
          <w:rFonts w:ascii="CG Times" w:hAnsi="CG Times"/>
        </w:rPr>
        <w:t xml:space="preserve">L'audit </w:t>
      </w:r>
      <w:r w:rsidRPr="00CE1DF4">
        <w:rPr>
          <w:rFonts w:ascii="CG Times" w:hAnsi="CG Times"/>
        </w:rPr>
        <w:t>environnemental et social</w:t>
      </w:r>
      <w:r>
        <w:rPr>
          <w:rFonts w:ascii="CG Times" w:hAnsi="CG Times"/>
        </w:rPr>
        <w:t xml:space="preserve"> </w:t>
      </w:r>
      <w:r w:rsidRPr="000817C8">
        <w:rPr>
          <w:rFonts w:ascii="CG Times" w:hAnsi="CG Times"/>
        </w:rPr>
        <w:t>se concentrera spécifiquement sur l'évaluation du degré de conformité avec les dispositions de l’accord de financement, y compris les législations, réglementations et procédures nationales, les exigences environnementales et sociales de la Banque et les bonnes pratiques industrielles internationales (BPII) du secteur du projet</w:t>
      </w:r>
      <w:r>
        <w:rPr>
          <w:rFonts w:ascii="CG Times" w:hAnsi="CG Times"/>
        </w:rPr>
        <w:t>.</w:t>
      </w:r>
    </w:p>
    <w:bookmarkEnd w:id="1"/>
    <w:p w14:paraId="552A65FE" w14:textId="77777777" w:rsidR="0001365D" w:rsidRPr="0060428B" w:rsidRDefault="0001365D" w:rsidP="0001365D">
      <w:pPr>
        <w:jc w:val="both"/>
        <w:rPr>
          <w:rFonts w:ascii="CG Times" w:hAnsi="CG Times"/>
          <w:sz w:val="16"/>
          <w:szCs w:val="16"/>
        </w:rPr>
      </w:pPr>
    </w:p>
    <w:p w14:paraId="5697A706" w14:textId="77777777" w:rsidR="0001365D" w:rsidRDefault="0001365D" w:rsidP="0001365D">
      <w:pPr>
        <w:jc w:val="both"/>
        <w:rPr>
          <w:rFonts w:ascii="CG Times" w:hAnsi="CG Times"/>
        </w:rPr>
      </w:pPr>
      <w:r>
        <w:rPr>
          <w:rFonts w:ascii="CG Times" w:hAnsi="CG Times"/>
        </w:rPr>
        <w:t>Les biens, travaux et services de consultant à acquérir se feront comme suit :</w:t>
      </w:r>
    </w:p>
    <w:p w14:paraId="12EF84A6" w14:textId="77777777" w:rsidR="0001365D" w:rsidRPr="0060428B" w:rsidRDefault="0001365D" w:rsidP="0001365D">
      <w:pPr>
        <w:jc w:val="both"/>
        <w:rPr>
          <w:rFonts w:ascii="CG Times" w:hAnsi="CG Times"/>
          <w:sz w:val="16"/>
          <w:szCs w:val="16"/>
        </w:rPr>
      </w:pPr>
    </w:p>
    <w:p w14:paraId="09C08443" w14:textId="77777777" w:rsidR="0001365D" w:rsidRPr="00D73B36" w:rsidRDefault="0001365D" w:rsidP="0001365D">
      <w:pPr>
        <w:spacing w:after="120"/>
        <w:ind w:right="72"/>
        <w:jc w:val="both"/>
      </w:pPr>
      <w:r w:rsidRPr="00D73B36">
        <w:rPr>
          <w:b/>
        </w:rPr>
        <w:t>Marchés de Biens</w:t>
      </w:r>
      <w:r w:rsidRPr="00D73B36">
        <w:t xml:space="preserve"> : </w:t>
      </w:r>
    </w:p>
    <w:p w14:paraId="399EBB68" w14:textId="77777777" w:rsidR="0001365D" w:rsidRDefault="0001365D" w:rsidP="0001365D">
      <w:pPr>
        <w:spacing w:after="120"/>
        <w:ind w:right="72"/>
        <w:jc w:val="both"/>
      </w:pPr>
      <w:r w:rsidRPr="00D73B36">
        <w:t>L</w:t>
      </w:r>
      <w:r>
        <w:t xml:space="preserve">es </w:t>
      </w:r>
      <w:r w:rsidRPr="00D73B36">
        <w:t>acquisition</w:t>
      </w:r>
      <w:r>
        <w:t>s</w:t>
      </w:r>
      <w:r w:rsidRPr="00D73B36">
        <w:t xml:space="preserve"> </w:t>
      </w:r>
      <w:r>
        <w:t>:</w:t>
      </w:r>
    </w:p>
    <w:p w14:paraId="1988600C" w14:textId="77777777" w:rsidR="0001365D" w:rsidRPr="001D0E46" w:rsidRDefault="0001365D" w:rsidP="0001365D">
      <w:pPr>
        <w:pStyle w:val="Paragraphedeliste"/>
        <w:numPr>
          <w:ilvl w:val="0"/>
          <w:numId w:val="6"/>
        </w:numPr>
        <w:spacing w:after="120" w:line="264" w:lineRule="auto"/>
        <w:ind w:right="72"/>
        <w:jc w:val="both"/>
      </w:pPr>
      <w:r>
        <w:t xml:space="preserve">de </w:t>
      </w:r>
      <w:r w:rsidRPr="001D0E46">
        <w:t xml:space="preserve">mobiliers de bureau, </w:t>
      </w:r>
    </w:p>
    <w:p w14:paraId="1FD968FB" w14:textId="77777777" w:rsidR="0001365D" w:rsidRPr="001D0E46" w:rsidRDefault="0001365D" w:rsidP="0001365D">
      <w:pPr>
        <w:pStyle w:val="Paragraphedeliste"/>
        <w:numPr>
          <w:ilvl w:val="0"/>
          <w:numId w:val="6"/>
        </w:numPr>
        <w:spacing w:after="120" w:line="264" w:lineRule="auto"/>
        <w:ind w:right="72"/>
        <w:jc w:val="both"/>
      </w:pPr>
      <w:r w:rsidRPr="001D0E46">
        <w:t xml:space="preserve">des matériels informatiques, </w:t>
      </w:r>
    </w:p>
    <w:p w14:paraId="729D16A2" w14:textId="77777777" w:rsidR="0001365D" w:rsidRPr="001D0E46" w:rsidRDefault="0001365D" w:rsidP="0001365D">
      <w:pPr>
        <w:pStyle w:val="Paragraphedeliste"/>
        <w:numPr>
          <w:ilvl w:val="0"/>
          <w:numId w:val="6"/>
        </w:numPr>
        <w:spacing w:after="120" w:line="264" w:lineRule="auto"/>
        <w:ind w:right="72"/>
        <w:jc w:val="both"/>
      </w:pPr>
      <w:r w:rsidRPr="001D0E46">
        <w:t>de logiciel comptable et formation</w:t>
      </w:r>
      <w:r>
        <w:t>,</w:t>
      </w:r>
      <w:r w:rsidRPr="001D0E46">
        <w:t xml:space="preserve"> et </w:t>
      </w:r>
    </w:p>
    <w:p w14:paraId="0F7A4090" w14:textId="77777777" w:rsidR="0001365D" w:rsidRDefault="0001365D" w:rsidP="0001365D">
      <w:pPr>
        <w:pStyle w:val="Paragraphedeliste"/>
        <w:numPr>
          <w:ilvl w:val="0"/>
          <w:numId w:val="6"/>
        </w:numPr>
        <w:spacing w:after="120" w:line="264" w:lineRule="auto"/>
        <w:ind w:right="72"/>
        <w:jc w:val="both"/>
      </w:pPr>
      <w:r w:rsidRPr="001D0E46">
        <w:t xml:space="preserve">de six (6) véhicules </w:t>
      </w:r>
    </w:p>
    <w:p w14:paraId="600B8397" w14:textId="77777777" w:rsidR="0001365D" w:rsidRPr="00AE4403" w:rsidRDefault="0001365D" w:rsidP="0001365D">
      <w:pPr>
        <w:ind w:right="72"/>
        <w:jc w:val="both"/>
      </w:pPr>
      <w:r>
        <w:t xml:space="preserve">Seront </w:t>
      </w:r>
      <w:r w:rsidRPr="00AE4403">
        <w:t>effectuée</w:t>
      </w:r>
      <w:r>
        <w:t>s</w:t>
      </w:r>
      <w:r w:rsidRPr="00AE4403">
        <w:t xml:space="preserve"> par Consultation de Fournisseurs (CF).</w:t>
      </w:r>
    </w:p>
    <w:p w14:paraId="34C4294C" w14:textId="77777777" w:rsidR="0001365D" w:rsidRPr="0060428B" w:rsidRDefault="0001365D" w:rsidP="0001365D">
      <w:pPr>
        <w:spacing w:after="120"/>
        <w:ind w:right="72"/>
        <w:jc w:val="both"/>
        <w:rPr>
          <w:b/>
          <w:sz w:val="16"/>
          <w:szCs w:val="16"/>
        </w:rPr>
      </w:pPr>
    </w:p>
    <w:p w14:paraId="64712299" w14:textId="77777777" w:rsidR="0001365D" w:rsidRPr="00D73B36" w:rsidRDefault="0001365D" w:rsidP="0001365D">
      <w:pPr>
        <w:spacing w:after="120"/>
        <w:ind w:right="72"/>
        <w:jc w:val="both"/>
      </w:pPr>
      <w:r w:rsidRPr="00D73B36">
        <w:rPr>
          <w:b/>
        </w:rPr>
        <w:t>Marchés de Travaux</w:t>
      </w:r>
      <w:r w:rsidRPr="00D73B36">
        <w:t xml:space="preserve"> : </w:t>
      </w:r>
    </w:p>
    <w:p w14:paraId="63492730" w14:textId="77777777" w:rsidR="0001365D" w:rsidRDefault="0001365D" w:rsidP="0001365D">
      <w:pPr>
        <w:ind w:right="72"/>
        <w:jc w:val="both"/>
      </w:pPr>
      <w:r w:rsidRPr="00731D29">
        <w:t xml:space="preserve">La passation des marchés pour : </w:t>
      </w:r>
    </w:p>
    <w:p w14:paraId="087153F4" w14:textId="77777777" w:rsidR="0001365D" w:rsidRPr="00731D29" w:rsidRDefault="0001365D" w:rsidP="0001365D">
      <w:pPr>
        <w:pStyle w:val="Paragraphedeliste"/>
        <w:numPr>
          <w:ilvl w:val="0"/>
          <w:numId w:val="5"/>
        </w:numPr>
        <w:spacing w:after="120" w:line="264" w:lineRule="auto"/>
        <w:ind w:right="72"/>
        <w:jc w:val="both"/>
      </w:pPr>
      <w:r w:rsidRPr="00731D29">
        <w:t xml:space="preserve">la construction clé en main d’une centrale HFO </w:t>
      </w:r>
      <w:r>
        <w:t xml:space="preserve">et </w:t>
      </w:r>
      <w:r w:rsidRPr="00731D29">
        <w:t>diesel 40 MW à Kankan ;</w:t>
      </w:r>
    </w:p>
    <w:p w14:paraId="7EAE6040" w14:textId="77777777" w:rsidR="0001365D" w:rsidRDefault="0001365D" w:rsidP="0001365D">
      <w:pPr>
        <w:pStyle w:val="Paragraphedeliste"/>
        <w:numPr>
          <w:ilvl w:val="0"/>
          <w:numId w:val="5"/>
        </w:numPr>
        <w:spacing w:after="120" w:line="264" w:lineRule="auto"/>
        <w:ind w:right="72"/>
        <w:jc w:val="both"/>
      </w:pPr>
      <w:r w:rsidRPr="00851BD3">
        <w:t xml:space="preserve">la réhabilitation et </w:t>
      </w:r>
      <w:r>
        <w:t>l’</w:t>
      </w:r>
      <w:r w:rsidRPr="00851BD3">
        <w:t>extension du réseau MT/BT de Kouroussa et seize (16) localités environnantes</w:t>
      </w:r>
      <w:r>
        <w:t> ;</w:t>
      </w:r>
      <w:r w:rsidRPr="00851BD3">
        <w:t xml:space="preserve"> et </w:t>
      </w:r>
    </w:p>
    <w:p w14:paraId="02AF6254" w14:textId="77777777" w:rsidR="0001365D" w:rsidRDefault="0001365D" w:rsidP="0001365D">
      <w:pPr>
        <w:pStyle w:val="Paragraphedeliste"/>
        <w:numPr>
          <w:ilvl w:val="0"/>
          <w:numId w:val="5"/>
        </w:numPr>
        <w:spacing w:after="120" w:line="264" w:lineRule="auto"/>
        <w:ind w:right="72"/>
        <w:jc w:val="both"/>
      </w:pPr>
      <w:r w:rsidRPr="00851BD3">
        <w:t xml:space="preserve">la fourniture et la pose des compteurs </w:t>
      </w:r>
    </w:p>
    <w:p w14:paraId="1D5BD35C" w14:textId="77777777" w:rsidR="0001365D" w:rsidRPr="00AE4403" w:rsidRDefault="0001365D" w:rsidP="0001365D">
      <w:pPr>
        <w:ind w:right="72"/>
        <w:jc w:val="both"/>
      </w:pPr>
      <w:r>
        <w:t>S</w:t>
      </w:r>
      <w:r w:rsidRPr="00AE4403">
        <w:t>eront effectuées par Appel d’Offres International (AOI).</w:t>
      </w:r>
    </w:p>
    <w:p w14:paraId="66C835A8" w14:textId="77777777" w:rsidR="0001365D" w:rsidRPr="006544DA" w:rsidRDefault="0001365D" w:rsidP="0001365D">
      <w:pPr>
        <w:spacing w:after="120"/>
        <w:ind w:right="72"/>
        <w:jc w:val="both"/>
        <w:rPr>
          <w:b/>
          <w:sz w:val="16"/>
          <w:szCs w:val="16"/>
        </w:rPr>
      </w:pPr>
    </w:p>
    <w:p w14:paraId="29BF5895" w14:textId="77777777" w:rsidR="0001365D" w:rsidRPr="00D73B36" w:rsidRDefault="0001365D" w:rsidP="0001365D">
      <w:pPr>
        <w:spacing w:after="120"/>
        <w:ind w:right="72"/>
        <w:jc w:val="both"/>
      </w:pPr>
      <w:r w:rsidRPr="00D73B36">
        <w:rPr>
          <w:b/>
        </w:rPr>
        <w:t>Sélection de Consultants</w:t>
      </w:r>
      <w:r w:rsidRPr="00D73B36">
        <w:t xml:space="preserve"> : </w:t>
      </w:r>
    </w:p>
    <w:p w14:paraId="2CB60AD8" w14:textId="77777777" w:rsidR="0001365D" w:rsidRPr="00B913C9" w:rsidRDefault="0001365D" w:rsidP="0001365D">
      <w:pPr>
        <w:tabs>
          <w:tab w:val="left" w:pos="-720"/>
        </w:tabs>
        <w:suppressAutoHyphens/>
        <w:jc w:val="both"/>
      </w:pPr>
      <w:r w:rsidRPr="00B913C9">
        <w:t xml:space="preserve">Les Services de consultants pour : </w:t>
      </w:r>
    </w:p>
    <w:p w14:paraId="5ECADB94" w14:textId="77777777" w:rsidR="0001365D" w:rsidRDefault="0001365D" w:rsidP="0001365D">
      <w:pPr>
        <w:pStyle w:val="Paragraphedeliste"/>
        <w:numPr>
          <w:ilvl w:val="0"/>
          <w:numId w:val="5"/>
        </w:numPr>
        <w:tabs>
          <w:tab w:val="left" w:pos="-720"/>
        </w:tabs>
        <w:suppressAutoHyphens/>
        <w:spacing w:after="120" w:line="264" w:lineRule="auto"/>
        <w:jc w:val="both"/>
      </w:pPr>
      <w:r w:rsidRPr="00B913C9">
        <w:t>le recrutement d’un consultant pour le contrôle et la supervision des travaux de la centrale thermique 40 MW de Kankan</w:t>
      </w:r>
      <w:r>
        <w:t> ;</w:t>
      </w:r>
      <w:r w:rsidRPr="00B913C9">
        <w:t xml:space="preserve"> </w:t>
      </w:r>
    </w:p>
    <w:p w14:paraId="2756B82D" w14:textId="635D9119" w:rsidR="0001365D" w:rsidRDefault="0001365D" w:rsidP="0001365D">
      <w:pPr>
        <w:pStyle w:val="Paragraphedeliste"/>
        <w:numPr>
          <w:ilvl w:val="0"/>
          <w:numId w:val="5"/>
        </w:numPr>
        <w:tabs>
          <w:tab w:val="left" w:pos="-720"/>
        </w:tabs>
        <w:suppressAutoHyphens/>
        <w:spacing w:after="120" w:line="264" w:lineRule="auto"/>
        <w:jc w:val="both"/>
      </w:pPr>
      <w:r w:rsidRPr="00B913C9">
        <w:t>le recrutement d’un consultant pour la réhabilitation et extension du réseau MT/BT de Kouroussa et seize (16) localités environnantes</w:t>
      </w:r>
      <w:r w:rsidR="00DC2DDF">
        <w:t> ;</w:t>
      </w:r>
    </w:p>
    <w:p w14:paraId="17945489" w14:textId="141648BF" w:rsidR="00DC2DDF" w:rsidRDefault="00DC2DDF" w:rsidP="00DC2DDF">
      <w:pPr>
        <w:pStyle w:val="Paragraphedeliste"/>
        <w:numPr>
          <w:ilvl w:val="0"/>
          <w:numId w:val="5"/>
        </w:numPr>
        <w:tabs>
          <w:tab w:val="left" w:pos="-720"/>
        </w:tabs>
        <w:suppressAutoHyphens/>
        <w:spacing w:line="264" w:lineRule="auto"/>
        <w:jc w:val="both"/>
      </w:pPr>
      <w:r w:rsidRPr="00AE4403">
        <w:t xml:space="preserve">Le recrutement d’un consultant pour </w:t>
      </w:r>
      <w:r>
        <w:t>l</w:t>
      </w:r>
      <w:r w:rsidRPr="00AE4403">
        <w:t>es études technique</w:t>
      </w:r>
      <w:r>
        <w:t>s</w:t>
      </w:r>
      <w:r w:rsidRPr="00AE4403">
        <w:t>, environnement</w:t>
      </w:r>
      <w:r>
        <w:t>ales</w:t>
      </w:r>
      <w:r w:rsidRPr="00AE4403">
        <w:t xml:space="preserve"> et social</w:t>
      </w:r>
      <w:r>
        <w:t xml:space="preserve">es </w:t>
      </w:r>
      <w:r w:rsidRPr="00AE4403">
        <w:t>et analyse des risques d’une centrale solaire 50</w:t>
      </w:r>
      <w:r>
        <w:t>-</w:t>
      </w:r>
      <w:r w:rsidRPr="00AE4403">
        <w:t xml:space="preserve">100 MWc modulables sera fait par une mise en concurrence utilisant </w:t>
      </w:r>
      <w:r w:rsidRPr="00AE4403">
        <w:rPr>
          <w:b/>
          <w:bCs/>
        </w:rPr>
        <w:t>la méthode (SFQC)</w:t>
      </w:r>
      <w:r w:rsidRPr="00AE4403">
        <w:t>.</w:t>
      </w:r>
    </w:p>
    <w:p w14:paraId="35F18C06" w14:textId="77777777" w:rsidR="00DC2DDF" w:rsidRDefault="00DC2DDF" w:rsidP="00DC2DDF">
      <w:pPr>
        <w:pStyle w:val="Paragraphedeliste"/>
        <w:tabs>
          <w:tab w:val="left" w:pos="-720"/>
        </w:tabs>
        <w:suppressAutoHyphens/>
        <w:spacing w:line="264" w:lineRule="auto"/>
        <w:jc w:val="both"/>
      </w:pPr>
    </w:p>
    <w:p w14:paraId="44E4500B" w14:textId="77777777" w:rsidR="0001365D" w:rsidRPr="00AE4403" w:rsidRDefault="0001365D" w:rsidP="0001365D">
      <w:pPr>
        <w:tabs>
          <w:tab w:val="left" w:pos="-720"/>
        </w:tabs>
        <w:suppressAutoHyphens/>
        <w:ind w:left="360"/>
        <w:jc w:val="both"/>
      </w:pPr>
      <w:r>
        <w:t>S</w:t>
      </w:r>
      <w:r w:rsidRPr="00AE4403">
        <w:t xml:space="preserve">eront acquis par une mise en concurrence utilisant </w:t>
      </w:r>
      <w:r w:rsidRPr="00AE4403">
        <w:rPr>
          <w:b/>
          <w:bCs/>
        </w:rPr>
        <w:t>la méthode de Sélection Fondée sur la Qualité et le Coût (</w:t>
      </w:r>
      <w:r w:rsidRPr="00AE4403">
        <w:rPr>
          <w:b/>
          <w:bCs/>
          <w:i/>
        </w:rPr>
        <w:t>SFQC</w:t>
      </w:r>
      <w:r w:rsidRPr="00AE4403">
        <w:rPr>
          <w:b/>
          <w:bCs/>
        </w:rPr>
        <w:t>)</w:t>
      </w:r>
      <w:r w:rsidRPr="00AE4403">
        <w:t xml:space="preserve"> </w:t>
      </w:r>
      <w:r w:rsidRPr="00AE4403">
        <w:rPr>
          <w:b/>
        </w:rPr>
        <w:t>des consultants (</w:t>
      </w:r>
      <w:r w:rsidRPr="00AE4403">
        <w:rPr>
          <w:b/>
          <w:i/>
        </w:rPr>
        <w:t>provenant des pays membres de la BID</w:t>
      </w:r>
      <w:r w:rsidRPr="00AE4403">
        <w:rPr>
          <w:b/>
        </w:rPr>
        <w:t xml:space="preserve">) </w:t>
      </w:r>
      <w:r w:rsidRPr="00AE4403">
        <w:t xml:space="preserve">retenus sur la liste restreinte. </w:t>
      </w:r>
    </w:p>
    <w:p w14:paraId="05DF8A98" w14:textId="77777777" w:rsidR="0001365D" w:rsidRPr="006544DA" w:rsidRDefault="0001365D" w:rsidP="0001365D">
      <w:pPr>
        <w:tabs>
          <w:tab w:val="left" w:pos="-720"/>
        </w:tabs>
        <w:suppressAutoHyphens/>
        <w:jc w:val="both"/>
        <w:rPr>
          <w:sz w:val="16"/>
          <w:szCs w:val="16"/>
        </w:rPr>
      </w:pPr>
    </w:p>
    <w:p w14:paraId="2E9C7B33" w14:textId="77777777" w:rsidR="00DC2DDF" w:rsidRDefault="00DC2DDF" w:rsidP="0001365D">
      <w:pPr>
        <w:pStyle w:val="Paragraphedeliste"/>
        <w:numPr>
          <w:ilvl w:val="0"/>
          <w:numId w:val="5"/>
        </w:numPr>
        <w:tabs>
          <w:tab w:val="left" w:pos="-720"/>
        </w:tabs>
        <w:suppressAutoHyphens/>
        <w:spacing w:after="120" w:line="264" w:lineRule="auto"/>
        <w:jc w:val="both"/>
      </w:pPr>
      <w:r w:rsidRPr="00AE4403">
        <w:t xml:space="preserve">Le recrutement d’un consultant pour l’audit </w:t>
      </w:r>
      <w:r>
        <w:t>e</w:t>
      </w:r>
      <w:r w:rsidRPr="00AE4403">
        <w:t xml:space="preserve">nvironnemental et </w:t>
      </w:r>
      <w:r>
        <w:t>s</w:t>
      </w:r>
      <w:r w:rsidRPr="00AE4403">
        <w:t>ocial</w:t>
      </w:r>
      <w:r>
        <w:t>, et</w:t>
      </w:r>
      <w:r w:rsidRPr="00AE4403">
        <w:t xml:space="preserve"> </w:t>
      </w:r>
    </w:p>
    <w:p w14:paraId="4A6E4CA9" w14:textId="0EEA42F8" w:rsidR="0001365D" w:rsidRDefault="0001365D" w:rsidP="0001365D">
      <w:pPr>
        <w:pStyle w:val="Paragraphedeliste"/>
        <w:numPr>
          <w:ilvl w:val="0"/>
          <w:numId w:val="5"/>
        </w:numPr>
        <w:tabs>
          <w:tab w:val="left" w:pos="-720"/>
        </w:tabs>
        <w:suppressAutoHyphens/>
        <w:spacing w:after="120" w:line="264" w:lineRule="auto"/>
        <w:jc w:val="both"/>
      </w:pPr>
      <w:r w:rsidRPr="00AE4403">
        <w:lastRenderedPageBreak/>
        <w:t>Le recrutement d'un consultant pour l'audit des comptes ser</w:t>
      </w:r>
      <w:r w:rsidR="00DC2DDF">
        <w:t>ont</w:t>
      </w:r>
      <w:r w:rsidRPr="00AE4403">
        <w:t xml:space="preserve"> effectué</w:t>
      </w:r>
      <w:r w:rsidR="00DC2DDF">
        <w:t>s</w:t>
      </w:r>
      <w:r w:rsidRPr="00AE4403">
        <w:t xml:space="preserve"> sur la base d’une liste restreinte de cabinets et la procédure de choix sera basée sur la méthode de la </w:t>
      </w:r>
      <w:r w:rsidRPr="00AE4403">
        <w:rPr>
          <w:b/>
        </w:rPr>
        <w:t>Sélection à Moindre Coût</w:t>
      </w:r>
      <w:r w:rsidRPr="00AE4403">
        <w:t xml:space="preserve"> </w:t>
      </w:r>
      <w:r w:rsidRPr="00AE4403">
        <w:rPr>
          <w:b/>
        </w:rPr>
        <w:t>(SMC).</w:t>
      </w:r>
      <w:r w:rsidRPr="00AE4403">
        <w:t xml:space="preserve"> </w:t>
      </w:r>
    </w:p>
    <w:p w14:paraId="047FD274" w14:textId="77777777" w:rsidR="0001365D" w:rsidRPr="006544DA" w:rsidRDefault="0001365D" w:rsidP="0001365D">
      <w:pPr>
        <w:pStyle w:val="Paragraphedeliste"/>
        <w:jc w:val="both"/>
        <w:rPr>
          <w:sz w:val="16"/>
          <w:szCs w:val="16"/>
        </w:rPr>
      </w:pPr>
    </w:p>
    <w:p w14:paraId="4B663712" w14:textId="74425FD5" w:rsidR="0001365D" w:rsidRPr="00AE4403" w:rsidRDefault="0001365D" w:rsidP="0001365D">
      <w:pPr>
        <w:pStyle w:val="Paragraphedeliste"/>
        <w:numPr>
          <w:ilvl w:val="0"/>
          <w:numId w:val="5"/>
        </w:numPr>
        <w:tabs>
          <w:tab w:val="left" w:pos="-720"/>
        </w:tabs>
        <w:suppressAutoHyphens/>
        <w:spacing w:after="120" w:line="264" w:lineRule="auto"/>
        <w:jc w:val="both"/>
      </w:pPr>
      <w:r w:rsidRPr="00AE4403">
        <w:t xml:space="preserve">le recrutement d’un consultant </w:t>
      </w:r>
      <w:r>
        <w:t xml:space="preserve">pour </w:t>
      </w:r>
      <w:r w:rsidRPr="00AE4403">
        <w:t xml:space="preserve">l’évaluation </w:t>
      </w:r>
      <w:r>
        <w:t xml:space="preserve">à </w:t>
      </w:r>
      <w:r w:rsidRPr="00AE4403">
        <w:t xml:space="preserve">mi-parcours et pour l’élaboration du rapport d’achèvement du projet </w:t>
      </w:r>
      <w:r w:rsidR="00BC4489">
        <w:t>s</w:t>
      </w:r>
      <w:r w:rsidRPr="00AE4403">
        <w:t>e</w:t>
      </w:r>
      <w:r w:rsidR="00DC2DDF">
        <w:t>ra</w:t>
      </w:r>
      <w:r w:rsidRPr="00AE4403">
        <w:t xml:space="preserve"> fait sur la base du </w:t>
      </w:r>
      <w:r w:rsidRPr="00BC4489">
        <w:rPr>
          <w:b/>
        </w:rPr>
        <w:t>recrutement d’un Consultant Individuel (CI)</w:t>
      </w:r>
      <w:r w:rsidRPr="00AE4403">
        <w:t xml:space="preserve">.  </w:t>
      </w:r>
    </w:p>
    <w:p w14:paraId="2B5B828B" w14:textId="77777777" w:rsidR="0001365D" w:rsidRPr="006544DA" w:rsidRDefault="0001365D" w:rsidP="0001365D">
      <w:pPr>
        <w:ind w:right="72"/>
        <w:jc w:val="both"/>
        <w:rPr>
          <w:sz w:val="16"/>
          <w:szCs w:val="16"/>
        </w:rPr>
      </w:pPr>
    </w:p>
    <w:p w14:paraId="70ABD048" w14:textId="77777777" w:rsidR="0001365D" w:rsidRDefault="0001365D" w:rsidP="0001365D">
      <w:pPr>
        <w:spacing w:after="120"/>
        <w:ind w:right="72"/>
        <w:jc w:val="both"/>
        <w:rPr>
          <w:rFonts w:ascii="CG Times" w:hAnsi="CG Times"/>
        </w:rPr>
      </w:pPr>
      <w:r>
        <w:rPr>
          <w:rFonts w:ascii="CG Times" w:hAnsi="CG Times"/>
        </w:rPr>
        <w:t xml:space="preserve">Les acquisitions </w:t>
      </w:r>
      <w:r w:rsidRPr="009F6C07">
        <w:rPr>
          <w:rFonts w:ascii="CG Times" w:hAnsi="CG Times"/>
        </w:rPr>
        <w:t>financé</w:t>
      </w:r>
      <w:r>
        <w:rPr>
          <w:rFonts w:ascii="CG Times" w:hAnsi="CG Times"/>
        </w:rPr>
        <w:t>e</w:t>
      </w:r>
      <w:r w:rsidRPr="009F6C07">
        <w:rPr>
          <w:rFonts w:ascii="CG Times" w:hAnsi="CG Times"/>
        </w:rPr>
        <w:t xml:space="preserve">s par la Banque Islamique de Développement </w:t>
      </w:r>
      <w:r>
        <w:rPr>
          <w:rFonts w:ascii="CG Times" w:hAnsi="CG Times"/>
        </w:rPr>
        <w:t xml:space="preserve">seront effectuées conformément aux </w:t>
      </w:r>
      <w:r w:rsidRPr="009F6C07">
        <w:rPr>
          <w:rFonts w:ascii="CG Times" w:hAnsi="CG Times"/>
        </w:rPr>
        <w:t>Directives</w:t>
      </w:r>
      <w:r>
        <w:rPr>
          <w:rFonts w:ascii="CG Times" w:hAnsi="CG Times"/>
        </w:rPr>
        <w:t xml:space="preserve"> pour l’acquisition de Biens, Travaux et services connexes</w:t>
      </w:r>
      <w:r w:rsidRPr="009F6C07">
        <w:rPr>
          <w:rFonts w:ascii="CG Times" w:hAnsi="CG Times"/>
        </w:rPr>
        <w:t xml:space="preserve"> </w:t>
      </w:r>
      <w:r>
        <w:rPr>
          <w:rFonts w:ascii="CG Times" w:hAnsi="CG Times"/>
        </w:rPr>
        <w:t xml:space="preserve">dans le cadre des Projets </w:t>
      </w:r>
      <w:r w:rsidRPr="009F6C07">
        <w:rPr>
          <w:rFonts w:ascii="CG Times" w:hAnsi="CG Times"/>
        </w:rPr>
        <w:t>financés par la Banque Islamique de Développement (</w:t>
      </w:r>
      <w:r>
        <w:rPr>
          <w:rFonts w:ascii="CG Times" w:hAnsi="CG Times"/>
        </w:rPr>
        <w:t>édition courante</w:t>
      </w:r>
      <w:r w:rsidRPr="009F6C07">
        <w:rPr>
          <w:rFonts w:ascii="CG Times" w:hAnsi="CG Times"/>
        </w:rPr>
        <w:t>)</w:t>
      </w:r>
      <w:r>
        <w:rPr>
          <w:rFonts w:ascii="CG Times" w:hAnsi="CG Times"/>
        </w:rPr>
        <w:t xml:space="preserve"> et sont ouvertes à tous les soumissionnaires éligibles, tels que définis dans ces Directives</w:t>
      </w:r>
      <w:r w:rsidRPr="009F6C07">
        <w:rPr>
          <w:rFonts w:ascii="CG Times" w:hAnsi="CG Times"/>
        </w:rPr>
        <w:t xml:space="preserve">. Les </w:t>
      </w:r>
      <w:r>
        <w:rPr>
          <w:rFonts w:ascii="CG Times" w:hAnsi="CG Times"/>
        </w:rPr>
        <w:t xml:space="preserve">acquisitions de services de </w:t>
      </w:r>
      <w:r w:rsidRPr="009F6C07">
        <w:rPr>
          <w:rFonts w:ascii="CG Times" w:hAnsi="CG Times"/>
        </w:rPr>
        <w:t xml:space="preserve">consultants </w:t>
      </w:r>
      <w:r>
        <w:rPr>
          <w:rFonts w:ascii="CG Times" w:hAnsi="CG Times"/>
        </w:rPr>
        <w:t xml:space="preserve">seront effectuées conformément aux </w:t>
      </w:r>
      <w:r w:rsidRPr="009F6C07">
        <w:rPr>
          <w:rFonts w:ascii="CG Times" w:hAnsi="CG Times"/>
        </w:rPr>
        <w:t>Directives</w:t>
      </w:r>
      <w:r>
        <w:rPr>
          <w:rFonts w:ascii="CG Times" w:hAnsi="CG Times"/>
        </w:rPr>
        <w:t xml:space="preserve"> pour l’acquisition de Services de Consultants</w:t>
      </w:r>
      <w:r w:rsidRPr="009F6C07">
        <w:rPr>
          <w:rFonts w:ascii="CG Times" w:hAnsi="CG Times"/>
        </w:rPr>
        <w:t xml:space="preserve"> </w:t>
      </w:r>
      <w:r>
        <w:rPr>
          <w:rFonts w:ascii="CG Times" w:hAnsi="CG Times"/>
        </w:rPr>
        <w:t xml:space="preserve">dans le cadre des Projets </w:t>
      </w:r>
      <w:r w:rsidRPr="009F6C07">
        <w:rPr>
          <w:rFonts w:ascii="CG Times" w:hAnsi="CG Times"/>
        </w:rPr>
        <w:t>financés par la Banque Islamique de Développement (</w:t>
      </w:r>
      <w:r>
        <w:rPr>
          <w:rFonts w:ascii="CG Times" w:hAnsi="CG Times"/>
        </w:rPr>
        <w:t>édition courante</w:t>
      </w:r>
      <w:r w:rsidRPr="009F6C07">
        <w:rPr>
          <w:rFonts w:ascii="CG Times" w:hAnsi="CG Times"/>
        </w:rPr>
        <w:t>)</w:t>
      </w:r>
      <w:r>
        <w:rPr>
          <w:rFonts w:ascii="CG Times" w:hAnsi="CG Times"/>
        </w:rPr>
        <w:t>.</w:t>
      </w:r>
    </w:p>
    <w:p w14:paraId="0A62466E" w14:textId="77777777" w:rsidR="0001365D" w:rsidRDefault="0001365D" w:rsidP="0001365D">
      <w:pPr>
        <w:spacing w:after="120"/>
        <w:ind w:right="72"/>
        <w:jc w:val="both"/>
        <w:rPr>
          <w:rFonts w:ascii="CG Times" w:hAnsi="CG Times"/>
        </w:rPr>
      </w:pPr>
      <w:r w:rsidRPr="00F938D9">
        <w:rPr>
          <w:rFonts w:ascii="CG Times" w:hAnsi="CG Times"/>
        </w:rPr>
        <w:t>Les avis spécifiques de passation des marchés</w:t>
      </w:r>
      <w:r>
        <w:rPr>
          <w:rFonts w:ascii="CG Times" w:hAnsi="CG Times"/>
        </w:rPr>
        <w:t xml:space="preserve"> pour les acquisitions à effectuer par Appel d’Offres International (AOI) ou Appel d’Offres International réservé aux pays membres (AOI/PM) et les appels à manifestations d’intérêt pour les services de consultants seront publiés au fur et à mesure qu’ils seront disponibles, sur le site internet de la BIsD, </w:t>
      </w:r>
      <w:r w:rsidRPr="00FA679A">
        <w:rPr>
          <w:iCs/>
        </w:rPr>
        <w:t xml:space="preserve">sur le portail </w:t>
      </w:r>
      <w:r w:rsidRPr="00FA679A">
        <w:rPr>
          <w:bCs/>
          <w:iCs/>
          <w:color w:val="000000"/>
        </w:rPr>
        <w:t>Development Business de l’ONU (UNDB Online) ou sur DgMarket</w:t>
      </w:r>
      <w:r>
        <w:rPr>
          <w:rFonts w:ascii="CG Times" w:hAnsi="CG Times"/>
        </w:rPr>
        <w:t xml:space="preserve"> et le Journal des Appels d’Offres de Guinée </w:t>
      </w:r>
      <w:hyperlink r:id="rId7" w:history="1">
        <w:r w:rsidRPr="004A2ACC">
          <w:rPr>
            <w:rStyle w:val="Lienhypertexte"/>
            <w:rFonts w:ascii="CG Times" w:hAnsi="CG Times"/>
          </w:rPr>
          <w:t>www.jaoguinee.com</w:t>
        </w:r>
      </w:hyperlink>
      <w:r>
        <w:rPr>
          <w:rFonts w:ascii="CG Times" w:hAnsi="CG Times"/>
        </w:rPr>
        <w:t xml:space="preserve">.  </w:t>
      </w:r>
    </w:p>
    <w:p w14:paraId="7734AF91" w14:textId="77777777" w:rsidR="0001365D" w:rsidRPr="0060428B" w:rsidRDefault="0001365D" w:rsidP="0001365D">
      <w:pPr>
        <w:ind w:right="72"/>
        <w:jc w:val="both"/>
        <w:rPr>
          <w:rFonts w:ascii="CG Times" w:hAnsi="CG Times"/>
          <w:color w:val="FF0000"/>
          <w:sz w:val="16"/>
          <w:szCs w:val="16"/>
        </w:rPr>
      </w:pPr>
    </w:p>
    <w:p w14:paraId="3B404410" w14:textId="77777777" w:rsidR="0001365D" w:rsidRDefault="0001365D" w:rsidP="0001365D">
      <w:pPr>
        <w:spacing w:after="120"/>
        <w:ind w:right="72"/>
        <w:jc w:val="both"/>
        <w:rPr>
          <w:rFonts w:ascii="CG Times" w:hAnsi="CG Times"/>
        </w:rPr>
      </w:pPr>
      <w:r>
        <w:rPr>
          <w:rFonts w:ascii="CG Times" w:hAnsi="CG Times"/>
        </w:rPr>
        <w:t xml:space="preserve">La pré-qualification de fournisseurs et d’entreprises est prévue pour les marchés ci-après : </w:t>
      </w:r>
    </w:p>
    <w:p w14:paraId="2B7FF35A" w14:textId="77777777" w:rsidR="0001365D" w:rsidRPr="00215AE4" w:rsidRDefault="0001365D" w:rsidP="0001365D">
      <w:pPr>
        <w:pStyle w:val="Paragraphedeliste"/>
        <w:numPr>
          <w:ilvl w:val="0"/>
          <w:numId w:val="4"/>
        </w:numPr>
        <w:spacing w:after="120" w:line="264" w:lineRule="auto"/>
        <w:ind w:right="72"/>
        <w:jc w:val="both"/>
        <w:rPr>
          <w:rFonts w:ascii="CG Times" w:hAnsi="CG Times"/>
        </w:rPr>
      </w:pPr>
      <w:r w:rsidRPr="00215AE4">
        <w:rPr>
          <w:rFonts w:ascii="CG Times" w:hAnsi="CG Times"/>
        </w:rPr>
        <w:t xml:space="preserve">Marché </w:t>
      </w:r>
      <w:r>
        <w:rPr>
          <w:rFonts w:ascii="CG Times" w:hAnsi="CG Times"/>
        </w:rPr>
        <w:t xml:space="preserve">de </w:t>
      </w:r>
      <w:r w:rsidRPr="00C00A60">
        <w:rPr>
          <w:rFonts w:ascii="CG Times" w:hAnsi="CG Times"/>
        </w:rPr>
        <w:t>construction clé en main d’une centrale en fuel HFO et diesel 40 MW à Kankan</w:t>
      </w:r>
      <w:r w:rsidRPr="00215AE4">
        <w:rPr>
          <w:rFonts w:ascii="CG Times" w:hAnsi="CG Times"/>
        </w:rPr>
        <w:t xml:space="preserve">; </w:t>
      </w:r>
    </w:p>
    <w:p w14:paraId="66A79FDB" w14:textId="77777777" w:rsidR="0001365D" w:rsidRPr="00215AE4" w:rsidRDefault="0001365D" w:rsidP="0001365D">
      <w:pPr>
        <w:pStyle w:val="Paragraphedeliste"/>
        <w:numPr>
          <w:ilvl w:val="0"/>
          <w:numId w:val="4"/>
        </w:numPr>
        <w:spacing w:after="120" w:line="264" w:lineRule="auto"/>
        <w:ind w:right="72"/>
        <w:jc w:val="both"/>
        <w:rPr>
          <w:rFonts w:ascii="CG Times" w:hAnsi="CG Times"/>
        </w:rPr>
      </w:pPr>
      <w:r w:rsidRPr="00215AE4">
        <w:rPr>
          <w:rFonts w:ascii="CG Times" w:hAnsi="CG Times"/>
        </w:rPr>
        <w:t>Marché de</w:t>
      </w:r>
      <w:r w:rsidRPr="00C00A60">
        <w:rPr>
          <w:rFonts w:ascii="CG Times" w:hAnsi="CG Times"/>
        </w:rPr>
        <w:t xml:space="preserve"> réhabilitation et extension du réseau MT/BT de Kouroussa et seize (16) localités environnantes</w:t>
      </w:r>
      <w:r w:rsidRPr="00215AE4">
        <w:rPr>
          <w:rFonts w:ascii="CG Times" w:hAnsi="CG Times"/>
        </w:rPr>
        <w:t xml:space="preserve"> ; </w:t>
      </w:r>
    </w:p>
    <w:p w14:paraId="47AC7E6F" w14:textId="77777777" w:rsidR="0001365D" w:rsidRPr="0060428B" w:rsidRDefault="0001365D" w:rsidP="0001365D">
      <w:pPr>
        <w:pStyle w:val="Paragraphedeliste"/>
        <w:ind w:right="72"/>
        <w:jc w:val="both"/>
        <w:rPr>
          <w:rFonts w:ascii="CG Times" w:hAnsi="CG Times"/>
          <w:sz w:val="16"/>
          <w:szCs w:val="16"/>
        </w:rPr>
      </w:pPr>
    </w:p>
    <w:p w14:paraId="3F7B350D" w14:textId="77777777" w:rsidR="0001365D" w:rsidRPr="00F61B08" w:rsidRDefault="0001365D" w:rsidP="0001365D">
      <w:pPr>
        <w:ind w:right="72"/>
        <w:jc w:val="both"/>
        <w:rPr>
          <w:rFonts w:ascii="CG Times" w:hAnsi="CG Times"/>
          <w:i/>
        </w:rPr>
      </w:pPr>
      <w:r>
        <w:rPr>
          <w:rFonts w:ascii="CG Times" w:hAnsi="CG Times"/>
        </w:rPr>
        <w:t>Les candidats intéressés et éligibles, qui souhaitent être considérés pour la fourniture de biens, travaux et services de consultants pour le projet, ou qui désirent obtenir des informations additionnelles, sont invités à contacter le Bénéficiaire à l’adresse ci-dessous:</w:t>
      </w:r>
    </w:p>
    <w:p w14:paraId="74AF0D8F" w14:textId="77777777" w:rsidR="0001365D" w:rsidRPr="0060428B" w:rsidRDefault="0001365D" w:rsidP="0001365D">
      <w:pPr>
        <w:ind w:right="72"/>
        <w:jc w:val="both"/>
        <w:rPr>
          <w:i/>
          <w:sz w:val="16"/>
          <w:szCs w:val="16"/>
        </w:rPr>
      </w:pPr>
    </w:p>
    <w:p w14:paraId="7AA81EFB" w14:textId="77777777" w:rsidR="0001365D" w:rsidRPr="00BD17B2" w:rsidRDefault="0001365D" w:rsidP="0001365D">
      <w:pPr>
        <w:ind w:right="72"/>
        <w:jc w:val="both"/>
        <w:rPr>
          <w:i/>
        </w:rPr>
      </w:pPr>
      <w:r w:rsidRPr="00BD17B2">
        <w:rPr>
          <w:i/>
        </w:rPr>
        <w:t xml:space="preserve">Unité de Gestion du Projet </w:t>
      </w:r>
    </w:p>
    <w:p w14:paraId="1EB98317" w14:textId="77777777" w:rsidR="0001365D" w:rsidRPr="00BD17B2" w:rsidRDefault="0001365D" w:rsidP="0001365D">
      <w:pPr>
        <w:ind w:right="72"/>
        <w:jc w:val="both"/>
        <w:rPr>
          <w:i/>
        </w:rPr>
      </w:pPr>
      <w:r w:rsidRPr="00BD17B2">
        <w:rPr>
          <w:i/>
        </w:rPr>
        <w:t xml:space="preserve">À l'attention de Monsieur Bangaly KONATE, Coordonnateur </w:t>
      </w:r>
    </w:p>
    <w:p w14:paraId="4DE6BF3A" w14:textId="77777777" w:rsidR="0001365D" w:rsidRPr="00BD17B2" w:rsidRDefault="0001365D" w:rsidP="0001365D">
      <w:pPr>
        <w:ind w:right="72"/>
        <w:jc w:val="both"/>
        <w:rPr>
          <w:i/>
        </w:rPr>
      </w:pPr>
      <w:r w:rsidRPr="00BD17B2">
        <w:rPr>
          <w:i/>
        </w:rPr>
        <w:t>Immeuble KATEX près du siège de Cellcom-Guinée</w:t>
      </w:r>
    </w:p>
    <w:p w14:paraId="284304EA" w14:textId="77777777" w:rsidR="0001365D" w:rsidRPr="00BD17B2" w:rsidRDefault="0001365D" w:rsidP="0001365D">
      <w:pPr>
        <w:ind w:right="72"/>
        <w:jc w:val="both"/>
        <w:rPr>
          <w:i/>
        </w:rPr>
      </w:pPr>
      <w:r w:rsidRPr="00BD17B2">
        <w:rPr>
          <w:i/>
        </w:rPr>
        <w:t>Electricité de Guinée (EDG)</w:t>
      </w:r>
      <w:r>
        <w:rPr>
          <w:i/>
        </w:rPr>
        <w:t xml:space="preserve">, </w:t>
      </w:r>
      <w:r w:rsidRPr="00BD17B2">
        <w:rPr>
          <w:i/>
        </w:rPr>
        <w:t>BP 1463 Conakry</w:t>
      </w:r>
      <w:r w:rsidRPr="00BD17B2">
        <w:rPr>
          <w:i/>
        </w:rPr>
        <w:tab/>
      </w:r>
    </w:p>
    <w:p w14:paraId="2E204D9D" w14:textId="77777777" w:rsidR="0001365D" w:rsidRPr="00BD17B2" w:rsidRDefault="0001365D" w:rsidP="0001365D">
      <w:pPr>
        <w:ind w:right="72"/>
        <w:jc w:val="both"/>
        <w:rPr>
          <w:i/>
        </w:rPr>
      </w:pPr>
      <w:r w:rsidRPr="00BD17B2">
        <w:rPr>
          <w:i/>
        </w:rPr>
        <w:t>République de Guinée</w:t>
      </w:r>
    </w:p>
    <w:p w14:paraId="284E5A40" w14:textId="77777777" w:rsidR="0001365D" w:rsidRPr="00BD17B2" w:rsidRDefault="0001365D" w:rsidP="0001365D">
      <w:pPr>
        <w:ind w:right="72"/>
        <w:jc w:val="both"/>
        <w:rPr>
          <w:i/>
        </w:rPr>
      </w:pPr>
      <w:r w:rsidRPr="00BD17B2">
        <w:rPr>
          <w:i/>
        </w:rPr>
        <w:t xml:space="preserve">Tél : +224 622089610 </w:t>
      </w:r>
    </w:p>
    <w:p w14:paraId="60E91766" w14:textId="77777777" w:rsidR="0001365D" w:rsidRPr="00992D95" w:rsidRDefault="0001365D" w:rsidP="0001365D">
      <w:pPr>
        <w:ind w:right="72"/>
        <w:jc w:val="both"/>
        <w:rPr>
          <w:rFonts w:ascii="CG Times" w:hAnsi="CG Times"/>
        </w:rPr>
      </w:pPr>
      <w:r w:rsidRPr="00B01D9E">
        <w:rPr>
          <w:noProof/>
        </w:rPr>
        <w:drawing>
          <wp:anchor distT="0" distB="0" distL="114300" distR="114300" simplePos="0" relativeHeight="251659264" behindDoc="0" locked="0" layoutInCell="1" allowOverlap="1" wp14:anchorId="69338F33" wp14:editId="7A098DFC">
            <wp:simplePos x="0" y="0"/>
            <wp:positionH relativeFrom="column">
              <wp:posOffset>96520</wp:posOffset>
            </wp:positionH>
            <wp:positionV relativeFrom="paragraph">
              <wp:posOffset>219075</wp:posOffset>
            </wp:positionV>
            <wp:extent cx="1498600" cy="692150"/>
            <wp:effectExtent l="0" t="0" r="6350" b="0"/>
            <wp:wrapNone/>
            <wp:docPr id="99305579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0" cy="692150"/>
                    </a:xfrm>
                    <a:prstGeom prst="rect">
                      <a:avLst/>
                    </a:prstGeom>
                    <a:noFill/>
                    <a:ln>
                      <a:noFill/>
                    </a:ln>
                  </pic:spPr>
                </pic:pic>
              </a:graphicData>
            </a:graphic>
          </wp:anchor>
        </w:drawing>
      </w:r>
      <w:r w:rsidRPr="00BD17B2">
        <w:rPr>
          <w:i/>
        </w:rPr>
        <w:t xml:space="preserve">E-mail : </w:t>
      </w:r>
      <w:hyperlink r:id="rId9" w:history="1">
        <w:r w:rsidRPr="004D3117">
          <w:rPr>
            <w:rStyle w:val="Lienhypertexte"/>
            <w:i/>
          </w:rPr>
          <w:t>bangaly.konate@paaeg.com</w:t>
        </w:r>
      </w:hyperlink>
      <w:r>
        <w:rPr>
          <w:i/>
        </w:rPr>
        <w:t xml:space="preserve"> </w:t>
      </w:r>
    </w:p>
    <w:p w14:paraId="2240AE33" w14:textId="77777777" w:rsidR="00064DC7" w:rsidRPr="006D39B5" w:rsidRDefault="00064DC7" w:rsidP="006D39B5"/>
    <w:sectPr w:rsidR="00064DC7" w:rsidRPr="006D39B5" w:rsidSect="006D39B5">
      <w:headerReference w:type="default" r:id="rId10"/>
      <w:footerReference w:type="default" r:id="rId11"/>
      <w:pgSz w:w="11906" w:h="16838"/>
      <w:pgMar w:top="1417" w:right="1417" w:bottom="1417" w:left="1417" w:header="142"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96AB" w14:textId="77777777" w:rsidR="00980D66" w:rsidRDefault="00980D66">
      <w:r>
        <w:separator/>
      </w:r>
    </w:p>
  </w:endnote>
  <w:endnote w:type="continuationSeparator" w:id="0">
    <w:p w14:paraId="0120A003" w14:textId="77777777" w:rsidR="00980D66" w:rsidRDefault="0098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BD52" w14:textId="77777777" w:rsidR="00EA2CE0" w:rsidRDefault="00980D66">
    <w:pPr>
      <w:pStyle w:val="Pieddepage"/>
    </w:pPr>
    <w:r w:rsidRPr="00253914">
      <w:rPr>
        <w:rFonts w:ascii="Maiandra GD" w:hAnsi="Maiandra GD"/>
        <w:b/>
        <w:noProof/>
        <w:sz w:val="40"/>
        <w:szCs w:val="40"/>
        <w:u w:val="single"/>
      </w:rPr>
      <mc:AlternateContent>
        <mc:Choice Requires="wpg">
          <w:drawing>
            <wp:anchor distT="0" distB="0" distL="114300" distR="114300" simplePos="0" relativeHeight="251662336" behindDoc="0" locked="0" layoutInCell="1" allowOverlap="1" wp14:anchorId="3DE7E358" wp14:editId="04096D55">
              <wp:simplePos x="0" y="0"/>
              <wp:positionH relativeFrom="column">
                <wp:posOffset>-715885</wp:posOffset>
              </wp:positionH>
              <wp:positionV relativeFrom="paragraph">
                <wp:posOffset>-627764</wp:posOffset>
              </wp:positionV>
              <wp:extent cx="7314697" cy="732931"/>
              <wp:effectExtent l="0" t="0" r="0" b="0"/>
              <wp:wrapNone/>
              <wp:docPr id="225" name="Groupe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4697" cy="732931"/>
                        <a:chOff x="1640" y="15598"/>
                        <a:chExt cx="8880" cy="700"/>
                      </a:xfrm>
                    </wpg:grpSpPr>
                    <wps:wsp>
                      <wps:cNvPr id="226" name="AutoShape 3"/>
                      <wps:cNvCnPr>
                        <a:cxnSpLocks noChangeShapeType="1"/>
                      </wps:cNvCnPr>
                      <wps:spPr bwMode="auto">
                        <a:xfrm flipV="1">
                          <a:off x="1931" y="15598"/>
                          <a:ext cx="8258" cy="23"/>
                        </a:xfrm>
                        <a:prstGeom prst="straightConnector1">
                          <a:avLst/>
                        </a:prstGeom>
                        <a:noFill/>
                        <a:ln w="12700">
                          <a:solidFill>
                            <a:srgbClr val="060060"/>
                          </a:solidFill>
                          <a:round/>
                          <a:headEnd/>
                          <a:tailEnd/>
                        </a:ln>
                        <a:extLst>
                          <a:ext uri="{909E8E84-426E-40DD-AFC4-6F175D3DCCD1}">
                            <a14:hiddenFill xmlns:a14="http://schemas.microsoft.com/office/drawing/2010/main">
                              <a:noFill/>
                            </a14:hiddenFill>
                          </a:ext>
                        </a:extLst>
                      </wps:spPr>
                      <wps:bodyPr/>
                    </wps:wsp>
                    <wps:wsp>
                      <wps:cNvPr id="227" name="Text Box 4"/>
                      <wps:cNvSpPr txBox="1">
                        <a:spLocks noChangeArrowheads="1"/>
                      </wps:cNvSpPr>
                      <wps:spPr bwMode="auto">
                        <a:xfrm>
                          <a:off x="1640" y="15612"/>
                          <a:ext cx="8880"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837C" w14:textId="77777777" w:rsidR="00EA2CE0" w:rsidRPr="007B55D4" w:rsidRDefault="00980D66" w:rsidP="006B72D9">
                            <w:pPr>
                              <w:jc w:val="center"/>
                              <w:rPr>
                                <w:rFonts w:ascii="Century Gothic" w:hAnsi="Century Gothic"/>
                                <w:b/>
                                <w:bCs/>
                                <w:sz w:val="16"/>
                                <w:szCs w:val="16"/>
                              </w:rPr>
                            </w:pPr>
                            <w:bookmarkStart w:id="3" w:name="_Hlk141442342"/>
                            <w:r w:rsidRPr="007B55D4">
                              <w:rPr>
                                <w:rFonts w:ascii="Century Gothic" w:hAnsi="Century Gothic"/>
                                <w:b/>
                                <w:bCs/>
                                <w:sz w:val="16"/>
                                <w:szCs w:val="16"/>
                              </w:rPr>
                              <w:t>ELECTRICITE DE GUINEE  - EDG  SA</w:t>
                            </w:r>
                          </w:p>
                          <w:p w14:paraId="2D89261B" w14:textId="77777777" w:rsidR="00EA2CE0" w:rsidRPr="007B55D4" w:rsidRDefault="00980D66" w:rsidP="006B72D9">
                            <w:pPr>
                              <w:jc w:val="center"/>
                              <w:rPr>
                                <w:rFonts w:ascii="Century Gothic" w:hAnsi="Century Gothic"/>
                                <w:sz w:val="16"/>
                                <w:szCs w:val="16"/>
                              </w:rPr>
                            </w:pPr>
                            <w:r w:rsidRPr="007B55D4">
                              <w:rPr>
                                <w:rFonts w:ascii="Century Gothic" w:hAnsi="Century Gothic"/>
                                <w:sz w:val="16"/>
                                <w:szCs w:val="16"/>
                              </w:rPr>
                              <w:t>Société Anonyme Publique avec Conseil d’Administration</w:t>
                            </w:r>
                          </w:p>
                          <w:p w14:paraId="0187AF9B" w14:textId="77777777" w:rsidR="00EA2CE0" w:rsidRPr="002925FB" w:rsidRDefault="00980D66" w:rsidP="006B72D9">
                            <w:pPr>
                              <w:jc w:val="center"/>
                              <w:rPr>
                                <w:rFonts w:ascii="Century Gothic" w:hAnsi="Century Gothic"/>
                                <w:sz w:val="16"/>
                                <w:szCs w:val="16"/>
                                <w:lang w:val="en-GB"/>
                              </w:rPr>
                            </w:pPr>
                            <w:r w:rsidRPr="002925FB">
                              <w:rPr>
                                <w:rFonts w:ascii="Century Gothic" w:hAnsi="Century Gothic"/>
                                <w:sz w:val="16"/>
                                <w:szCs w:val="16"/>
                                <w:lang w:val="en-GB"/>
                              </w:rPr>
                              <w:t>RCCM N° GCKRY/0715A/2003 – NIF : 693770885 - Capital Social : 261 119 478 000 GNF</w:t>
                            </w:r>
                          </w:p>
                          <w:p w14:paraId="4D687FF6" w14:textId="77777777" w:rsidR="00EA2CE0" w:rsidRPr="007B55D4" w:rsidRDefault="00980D66" w:rsidP="00A1218E">
                            <w:pPr>
                              <w:jc w:val="center"/>
                              <w:rPr>
                                <w:rFonts w:ascii="Century Gothic" w:hAnsi="Century Gothic"/>
                                <w:sz w:val="16"/>
                                <w:szCs w:val="16"/>
                              </w:rPr>
                            </w:pPr>
                            <w:r w:rsidRPr="007B55D4">
                              <w:rPr>
                                <w:rFonts w:ascii="Century Gothic" w:hAnsi="Century Gothic"/>
                                <w:sz w:val="16"/>
                                <w:szCs w:val="16"/>
                              </w:rPr>
                              <w:t xml:space="preserve">Siège Social Immeuble </w:t>
                            </w:r>
                            <w:r>
                              <w:rPr>
                                <w:rFonts w:ascii="Century Gothic" w:hAnsi="Century Gothic"/>
                                <w:sz w:val="16"/>
                                <w:szCs w:val="16"/>
                              </w:rPr>
                              <w:t>Sankaran, Carrefour Chinois côté nord, Minière, Dixinn</w:t>
                            </w:r>
                            <w:r w:rsidRPr="007B55D4">
                              <w:rPr>
                                <w:rFonts w:ascii="Century Gothic" w:hAnsi="Century Gothic"/>
                                <w:sz w:val="16"/>
                                <w:szCs w:val="16"/>
                              </w:rPr>
                              <w:t xml:space="preserve"> – BP: 1463 – CONAKRY République de Guinée</w:t>
                            </w:r>
                          </w:p>
                          <w:p w14:paraId="3D01D21E" w14:textId="77777777" w:rsidR="00EA2CE0" w:rsidRPr="007B55D4" w:rsidRDefault="00980D66" w:rsidP="006B72D9">
                            <w:pPr>
                              <w:jc w:val="center"/>
                              <w:rPr>
                                <w:sz w:val="16"/>
                                <w:szCs w:val="16"/>
                              </w:rPr>
                            </w:pPr>
                            <w:r w:rsidRPr="007B55D4">
                              <w:rPr>
                                <w:rFonts w:ascii="Century Gothic" w:hAnsi="Century Gothic"/>
                                <w:sz w:val="16"/>
                                <w:szCs w:val="16"/>
                              </w:rPr>
                              <w:t xml:space="preserve">Tél : 626 11 11 11/ 666 72 72 72 – Email : </w:t>
                            </w:r>
                            <w:hyperlink r:id="rId1" w:history="1">
                              <w:r w:rsidR="00EA2CE0" w:rsidRPr="007B55D4">
                                <w:rPr>
                                  <w:rStyle w:val="Titre5Car"/>
                                  <w:rFonts w:ascii="Century Gothic" w:hAnsi="Century Gothic"/>
                                  <w:sz w:val="16"/>
                                  <w:szCs w:val="16"/>
                                </w:rPr>
                                <w:t>infos@edg.com.gn</w:t>
                              </w:r>
                            </w:hyperlink>
                            <w:r w:rsidRPr="007B55D4">
                              <w:rPr>
                                <w:rFonts w:ascii="Century Gothic" w:hAnsi="Century Gothic"/>
                                <w:sz w:val="16"/>
                                <w:szCs w:val="16"/>
                              </w:rPr>
                              <w:t xml:space="preserve"> – Site Web : www.edg.com.gn</w:t>
                            </w:r>
                            <w:bookmarkEnd w:id="3"/>
                          </w:p>
                          <w:p w14:paraId="09E68E5C" w14:textId="77777777" w:rsidR="00EA2CE0" w:rsidRPr="00D0559D" w:rsidRDefault="00EA2CE0" w:rsidP="00D0559D">
                            <w:pPr>
                              <w:tabs>
                                <w:tab w:val="center" w:pos="426"/>
                              </w:tabs>
                              <w:jc w:val="both"/>
                              <w:rPr>
                                <w:rFonts w:ascii="Verdana" w:hAnsi="Verdana"/>
                                <w:color w:val="060060"/>
                                <w:sz w:val="16"/>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7E358" id="Groupe 225" o:spid="_x0000_s1027" style="position:absolute;margin-left:-56.35pt;margin-top:-49.45pt;width:575.95pt;height:57.7pt;z-index:251662336" coordorigin="1640,15598" coordsize="888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">
              <v:shapetype id="_x0000_t32" coordsize="21600,21600" o:spt="32" o:oned="t" path="m,l21600,21600e" filled="f">
                <v:path arrowok="t" fillok="f" o:connecttype="none"/>
                <o:lock v:ext="edit" shapetype="t"/>
              </v:shapetype>
              <v:shape id="AutoShape 3" o:spid="_x0000_s1028" type="#_x0000_t32" style="position:absolute;left:1931;top:15598;width:8258;height: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" strokecolor="#060060" strokeweight="1pt"/>
              <v:shapetype id="_x0000_t202" coordsize="21600,21600" o:spt="202" path="m,l,21600r21600,l21600,xe">
                <v:stroke joinstyle="miter"/>
                <v:path gradientshapeok="t" o:connecttype="rect"/>
              </v:shapetype>
              <v:shape id="Text Box 4" o:spid="_x0000_s1029" type="#_x0000_t202" style="position:absolute;left:1640;top:15612;width:8880;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D68837C" w14:textId="77777777" w:rsidR="00EA2CE0" w:rsidRPr="007B55D4" w:rsidRDefault="00980D66" w:rsidP="006B72D9">
                      <w:pPr>
                        <w:jc w:val="center"/>
                        <w:rPr>
                          <w:rFonts w:ascii="Century Gothic" w:hAnsi="Century Gothic"/>
                          <w:b/>
                          <w:bCs/>
                          <w:sz w:val="16"/>
                          <w:szCs w:val="16"/>
                        </w:rPr>
                      </w:pPr>
                      <w:bookmarkStart w:id="4" w:name="_Hlk141442342"/>
                      <w:r w:rsidRPr="007B55D4">
                        <w:rPr>
                          <w:rFonts w:ascii="Century Gothic" w:hAnsi="Century Gothic"/>
                          <w:b/>
                          <w:bCs/>
                          <w:sz w:val="16"/>
                          <w:szCs w:val="16"/>
                        </w:rPr>
                        <w:t>ELECTRICITE DE GUINEE  - EDG  SA</w:t>
                      </w:r>
                    </w:p>
                    <w:p w14:paraId="2D89261B" w14:textId="77777777" w:rsidR="00EA2CE0" w:rsidRPr="007B55D4" w:rsidRDefault="00980D66" w:rsidP="006B72D9">
                      <w:pPr>
                        <w:jc w:val="center"/>
                        <w:rPr>
                          <w:rFonts w:ascii="Century Gothic" w:hAnsi="Century Gothic"/>
                          <w:sz w:val="16"/>
                          <w:szCs w:val="16"/>
                        </w:rPr>
                      </w:pPr>
                      <w:r w:rsidRPr="007B55D4">
                        <w:rPr>
                          <w:rFonts w:ascii="Century Gothic" w:hAnsi="Century Gothic"/>
                          <w:sz w:val="16"/>
                          <w:szCs w:val="16"/>
                        </w:rPr>
                        <w:t>Société Anonyme Publique avec Conseil d’Administration</w:t>
                      </w:r>
                    </w:p>
                    <w:p w14:paraId="0187AF9B" w14:textId="77777777" w:rsidR="00EA2CE0" w:rsidRPr="002925FB" w:rsidRDefault="00980D66" w:rsidP="006B72D9">
                      <w:pPr>
                        <w:jc w:val="center"/>
                        <w:rPr>
                          <w:rFonts w:ascii="Century Gothic" w:hAnsi="Century Gothic"/>
                          <w:sz w:val="16"/>
                          <w:szCs w:val="16"/>
                          <w:lang w:val="en-GB"/>
                        </w:rPr>
                      </w:pPr>
                      <w:r w:rsidRPr="002925FB">
                        <w:rPr>
                          <w:rFonts w:ascii="Century Gothic" w:hAnsi="Century Gothic"/>
                          <w:sz w:val="16"/>
                          <w:szCs w:val="16"/>
                          <w:lang w:val="en-GB"/>
                        </w:rPr>
                        <w:t>RCCM N° GCKRY/0715A/2003 – NIF : 693770885 - Capital Social : 261 119 478 000 GNF</w:t>
                      </w:r>
                    </w:p>
                    <w:p w14:paraId="4D687FF6" w14:textId="77777777" w:rsidR="00EA2CE0" w:rsidRPr="007B55D4" w:rsidRDefault="00980D66" w:rsidP="00A1218E">
                      <w:pPr>
                        <w:jc w:val="center"/>
                        <w:rPr>
                          <w:rFonts w:ascii="Century Gothic" w:hAnsi="Century Gothic"/>
                          <w:sz w:val="16"/>
                          <w:szCs w:val="16"/>
                        </w:rPr>
                      </w:pPr>
                      <w:r w:rsidRPr="007B55D4">
                        <w:rPr>
                          <w:rFonts w:ascii="Century Gothic" w:hAnsi="Century Gothic"/>
                          <w:sz w:val="16"/>
                          <w:szCs w:val="16"/>
                        </w:rPr>
                        <w:t xml:space="preserve">Siège Social Immeuble </w:t>
                      </w:r>
                      <w:r>
                        <w:rPr>
                          <w:rFonts w:ascii="Century Gothic" w:hAnsi="Century Gothic"/>
                          <w:sz w:val="16"/>
                          <w:szCs w:val="16"/>
                        </w:rPr>
                        <w:t>Sankaran, Carrefour Chinois côté nord, Minière, Dixinn</w:t>
                      </w:r>
                      <w:r w:rsidRPr="007B55D4">
                        <w:rPr>
                          <w:rFonts w:ascii="Century Gothic" w:hAnsi="Century Gothic"/>
                          <w:sz w:val="16"/>
                          <w:szCs w:val="16"/>
                        </w:rPr>
                        <w:t xml:space="preserve"> – BP: 1463 – CONAKRY République de Guinée</w:t>
                      </w:r>
                    </w:p>
                    <w:p w14:paraId="3D01D21E" w14:textId="77777777" w:rsidR="00EA2CE0" w:rsidRPr="007B55D4" w:rsidRDefault="00980D66" w:rsidP="006B72D9">
                      <w:pPr>
                        <w:jc w:val="center"/>
                        <w:rPr>
                          <w:sz w:val="16"/>
                          <w:szCs w:val="16"/>
                        </w:rPr>
                      </w:pPr>
                      <w:r w:rsidRPr="007B55D4">
                        <w:rPr>
                          <w:rFonts w:ascii="Century Gothic" w:hAnsi="Century Gothic"/>
                          <w:sz w:val="16"/>
                          <w:szCs w:val="16"/>
                        </w:rPr>
                        <w:t xml:space="preserve">Tél : 626 11 11 11/ 666 72 72 72 – Email : </w:t>
                      </w:r>
                      <w:hyperlink r:id="rId2" w:history="1">
                        <w:r w:rsidR="00EA2CE0" w:rsidRPr="007B55D4">
                          <w:rPr>
                            <w:rStyle w:val="Titre5Car"/>
                            <w:rFonts w:ascii="Century Gothic" w:hAnsi="Century Gothic"/>
                            <w:sz w:val="16"/>
                            <w:szCs w:val="16"/>
                          </w:rPr>
                          <w:t>infos@edg.com.gn</w:t>
                        </w:r>
                      </w:hyperlink>
                      <w:r w:rsidRPr="007B55D4">
                        <w:rPr>
                          <w:rFonts w:ascii="Century Gothic" w:hAnsi="Century Gothic"/>
                          <w:sz w:val="16"/>
                          <w:szCs w:val="16"/>
                        </w:rPr>
                        <w:t xml:space="preserve"> – Site Web : www.edg.com.gn</w:t>
                      </w:r>
                      <w:bookmarkEnd w:id="4"/>
                    </w:p>
                    <w:p w14:paraId="09E68E5C" w14:textId="77777777" w:rsidR="00EA2CE0" w:rsidRPr="00D0559D" w:rsidRDefault="00EA2CE0" w:rsidP="00D0559D">
                      <w:pPr>
                        <w:tabs>
                          <w:tab w:val="center" w:pos="426"/>
                        </w:tabs>
                        <w:jc w:val="both"/>
                        <w:rPr>
                          <w:rFonts w:ascii="Verdana" w:hAnsi="Verdana"/>
                          <w:color w:val="060060"/>
                          <w:sz w:val="16"/>
                          <w:szCs w:val="20"/>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E509" w14:textId="77777777" w:rsidR="00980D66" w:rsidRDefault="00980D66">
      <w:r>
        <w:separator/>
      </w:r>
    </w:p>
  </w:footnote>
  <w:footnote w:type="continuationSeparator" w:id="0">
    <w:p w14:paraId="5C2303D0" w14:textId="77777777" w:rsidR="00980D66" w:rsidRDefault="0098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5A02" w14:textId="77777777" w:rsidR="00EA2CE0" w:rsidRDefault="00980D66" w:rsidP="00B51343">
    <w:pPr>
      <w:pStyle w:val="En-tte"/>
      <w:ind w:left="-1276"/>
    </w:pPr>
    <w:r>
      <w:rPr>
        <w:noProof/>
      </w:rPr>
      <mc:AlternateContent>
        <mc:Choice Requires="wps">
          <w:drawing>
            <wp:anchor distT="0" distB="0" distL="114300" distR="114300" simplePos="0" relativeHeight="251659264" behindDoc="0" locked="0" layoutInCell="1" allowOverlap="1" wp14:anchorId="3F8CF633" wp14:editId="1DCDC631">
              <wp:simplePos x="0" y="0"/>
              <wp:positionH relativeFrom="margin">
                <wp:posOffset>567055</wp:posOffset>
              </wp:positionH>
              <wp:positionV relativeFrom="paragraph">
                <wp:posOffset>5080</wp:posOffset>
              </wp:positionV>
              <wp:extent cx="4660900" cy="800100"/>
              <wp:effectExtent l="0" t="0" r="0" b="0"/>
              <wp:wrapNone/>
              <wp:docPr id="1514169796" name="Zone de texte 1"/>
              <wp:cNvGraphicFramePr/>
              <a:graphic xmlns:a="http://schemas.openxmlformats.org/drawingml/2006/main">
                <a:graphicData uri="http://schemas.microsoft.com/office/word/2010/wordprocessingShape">
                  <wps:wsp>
                    <wps:cNvSpPr txBox="1"/>
                    <wps:spPr>
                      <a:xfrm>
                        <a:off x="0" y="0"/>
                        <a:ext cx="4660900" cy="800100"/>
                      </a:xfrm>
                      <a:prstGeom prst="rect">
                        <a:avLst/>
                      </a:prstGeom>
                      <a:noFill/>
                      <a:ln>
                        <a:noFill/>
                      </a:ln>
                    </wps:spPr>
                    <wps:txbx>
                      <w:txbxContent>
                        <w:p w14:paraId="279DA2ED" w14:textId="1AA10496" w:rsidR="00EA2CE0" w:rsidRPr="002E1BD4" w:rsidRDefault="00980D66" w:rsidP="00997C97">
                          <w:pPr>
                            <w:ind w:left="284"/>
                            <w:jc w:val="center"/>
                            <w:rPr>
                              <w:b/>
                              <w:bCs/>
                              <w:noProof/>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1BD4">
                            <w:rPr>
                              <w:b/>
                              <w:bCs/>
                              <w:color w:val="000000"/>
                              <w:sz w:val="26"/>
                              <w:szCs w:val="26"/>
                            </w:rPr>
                            <w:t xml:space="preserve">Projet de construction d’une centrale thermique de 40 MW à Kankan et de réhabilitation et </w:t>
                          </w:r>
                          <w:r w:rsidR="0001365D">
                            <w:rPr>
                              <w:b/>
                              <w:bCs/>
                              <w:color w:val="000000"/>
                              <w:sz w:val="26"/>
                              <w:szCs w:val="26"/>
                            </w:rPr>
                            <w:t>d’</w:t>
                          </w:r>
                          <w:r w:rsidRPr="002E1BD4">
                            <w:rPr>
                              <w:b/>
                              <w:bCs/>
                              <w:color w:val="000000"/>
                              <w:sz w:val="26"/>
                              <w:szCs w:val="26"/>
                            </w:rPr>
                            <w:t xml:space="preserve">extension du réseau MT/BT de Kouroussa et </w:t>
                          </w:r>
                          <w:r w:rsidRPr="002E1BD4">
                            <w:rPr>
                              <w:b/>
                              <w:bCs/>
                              <w:color w:val="000000"/>
                              <w:sz w:val="26"/>
                              <w:szCs w:val="26"/>
                            </w:rPr>
                            <w:t>seize (16) localités environnantes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CF633" id="_x0000_t202" coordsize="21600,21600" o:spt="202" path="m,l,21600r21600,l21600,xe">
              <v:stroke joinstyle="miter"/>
              <v:path gradientshapeok="t" o:connecttype="rect"/>
            </v:shapetype>
            <v:shape id="Zone de texte 1" o:spid="_x0000_s1026" type="#_x0000_t202" style="position:absolute;left:0;text-align:left;margin-left:44.65pt;margin-top:.4pt;width:367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" filled="f" stroked="f">
              <v:textbox>
                <w:txbxContent>
                  <w:p w14:paraId="279DA2ED" w14:textId="1AA10496" w:rsidR="00EA2CE0" w:rsidRPr="002E1BD4" w:rsidRDefault="00980D66" w:rsidP="00997C97">
                    <w:pPr>
                      <w:ind w:left="284"/>
                      <w:jc w:val="center"/>
                      <w:rPr>
                        <w:b/>
                        <w:bCs/>
                        <w:noProof/>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1BD4">
                      <w:rPr>
                        <w:b/>
                        <w:bCs/>
                        <w:color w:val="000000"/>
                        <w:sz w:val="26"/>
                        <w:szCs w:val="26"/>
                      </w:rPr>
                      <w:t xml:space="preserve">Projet de construction d’une centrale thermique de 40 MW à Kankan et de réhabilitation et </w:t>
                    </w:r>
                    <w:r w:rsidR="0001365D">
                      <w:rPr>
                        <w:b/>
                        <w:bCs/>
                        <w:color w:val="000000"/>
                        <w:sz w:val="26"/>
                        <w:szCs w:val="26"/>
                      </w:rPr>
                      <w:t>d’</w:t>
                    </w:r>
                    <w:r w:rsidRPr="002E1BD4">
                      <w:rPr>
                        <w:b/>
                        <w:bCs/>
                        <w:color w:val="000000"/>
                        <w:sz w:val="26"/>
                        <w:szCs w:val="26"/>
                      </w:rPr>
                      <w:t xml:space="preserve">extension du réseau MT/BT de Kouroussa et </w:t>
                    </w:r>
                    <w:r w:rsidRPr="002E1BD4">
                      <w:rPr>
                        <w:b/>
                        <w:bCs/>
                        <w:color w:val="000000"/>
                        <w:sz w:val="26"/>
                        <w:szCs w:val="26"/>
                      </w:rPr>
                      <w:t>seize (16) localités environnantes</w:t>
                    </w:r>
                  </w:p>
                </w:txbxContent>
              </v:textbox>
              <w10:wrap anchorx="margin"/>
            </v:shape>
          </w:pict>
        </mc:Fallback>
      </mc:AlternateContent>
    </w:r>
    <w:r>
      <w:rPr>
        <w:noProof/>
      </w:rPr>
      <w:drawing>
        <wp:anchor distT="0" distB="0" distL="114300" distR="114300" simplePos="0" relativeHeight="251660288" behindDoc="1" locked="0" layoutInCell="1" allowOverlap="1" wp14:anchorId="7A38FA19" wp14:editId="76DF890A">
          <wp:simplePos x="0" y="0"/>
          <wp:positionH relativeFrom="column">
            <wp:posOffset>5158105</wp:posOffset>
          </wp:positionH>
          <wp:positionV relativeFrom="paragraph">
            <wp:posOffset>113030</wp:posOffset>
          </wp:positionV>
          <wp:extent cx="1371600" cy="570865"/>
          <wp:effectExtent l="0" t="0" r="0" b="635"/>
          <wp:wrapNone/>
          <wp:docPr id="94830747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708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8993D7D" wp14:editId="29D8E42A">
              <wp:simplePos x="0" y="0"/>
              <wp:positionH relativeFrom="page">
                <wp:align>right</wp:align>
              </wp:positionH>
              <wp:positionV relativeFrom="paragraph">
                <wp:posOffset>881380</wp:posOffset>
              </wp:positionV>
              <wp:extent cx="7515225" cy="0"/>
              <wp:effectExtent l="0" t="19050" r="28575" b="19050"/>
              <wp:wrapNone/>
              <wp:docPr id="1161281249" name="Connecteur droit 4"/>
              <wp:cNvGraphicFramePr/>
              <a:graphic xmlns:a="http://schemas.openxmlformats.org/drawingml/2006/main">
                <a:graphicData uri="http://schemas.microsoft.com/office/word/2010/wordprocessingShape">
                  <wps:wsp>
                    <wps:cNvCnPr/>
                    <wps:spPr>
                      <a:xfrm flipV="1">
                        <a:off x="0" y="0"/>
                        <a:ext cx="7515225" cy="0"/>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2D7C1EF" id="Connecteur droit 4" o:spid="_x0000_s1026" style="position:absolute;flip:y;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0.55pt,69.4pt" to="1132.3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" strokecolor="#4472c4 [3204]" strokeweight="2.5pt">
              <v:stroke joinstyle="miter"/>
              <w10:wrap anchorx="page"/>
            </v:line>
          </w:pict>
        </mc:Fallback>
      </mc:AlternateContent>
    </w:r>
    <w:r>
      <w:rPr>
        <w:noProof/>
      </w:rPr>
      <w:drawing>
        <wp:inline distT="0" distB="0" distL="0" distR="0" wp14:anchorId="00B5ED90" wp14:editId="5E6759AB">
          <wp:extent cx="2022324" cy="838200"/>
          <wp:effectExtent l="0" t="0" r="0" b="0"/>
          <wp:docPr id="960988901" name="Image 96098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94981" name=""/>
                  <pic:cNvPicPr/>
                </pic:nvPicPr>
                <pic:blipFill rotWithShape="1">
                  <a:blip r:embed="rId2"/>
                  <a:srcRect l="6897" t="15197" r="12467" b="23039"/>
                  <a:stretch/>
                </pic:blipFill>
                <pic:spPr bwMode="auto">
                  <a:xfrm>
                    <a:off x="0" y="0"/>
                    <a:ext cx="2023647" cy="838748"/>
                  </a:xfrm>
                  <a:prstGeom prst="rect">
                    <a:avLst/>
                  </a:prstGeom>
                  <a:ln>
                    <a:noFill/>
                  </a:ln>
                  <a:extLst>
                    <a:ext uri="{53640926-AAD7-44D8-BBD7-CCE9431645EC}">
                      <a14:shadowObscured xmlns:a14="http://schemas.microsoft.com/office/drawing/2010/main"/>
                    </a:ext>
                  </a:extLst>
                </pic:spPr>
              </pic:pic>
            </a:graphicData>
          </a:graphic>
        </wp:inline>
      </w:drawing>
    </w:r>
    <w:r w:rsidRPr="00B51343">
      <w:rPr>
        <w:noProof/>
      </w:rPr>
      <w:t xml:space="preserve"> </w:t>
    </w:r>
  </w:p>
  <w:p w14:paraId="3383DA37" w14:textId="77777777" w:rsidR="00EA2CE0" w:rsidRDefault="00EA2CE0" w:rsidP="008C32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4988"/>
    <w:multiLevelType w:val="hybridMultilevel"/>
    <w:tmpl w:val="C786EB5C"/>
    <w:lvl w:ilvl="0" w:tplc="F6E40F60">
      <w:start w:val="1"/>
      <w:numFmt w:val="bullet"/>
      <w:lvlText w:val="-"/>
      <w:lvlJc w:val="left"/>
      <w:pPr>
        <w:ind w:left="720" w:hanging="360"/>
      </w:pPr>
      <w:rPr>
        <w:rFonts w:ascii="Times New Roman" w:eastAsia="Times New Roman" w:hAnsi="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52745E"/>
    <w:multiLevelType w:val="hybridMultilevel"/>
    <w:tmpl w:val="54C207FC"/>
    <w:lvl w:ilvl="0" w:tplc="057246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F347FB"/>
    <w:multiLevelType w:val="hybridMultilevel"/>
    <w:tmpl w:val="50681FF8"/>
    <w:lvl w:ilvl="0" w:tplc="41A4C2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BC0D29"/>
    <w:multiLevelType w:val="hybridMultilevel"/>
    <w:tmpl w:val="085C34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214112"/>
    <w:multiLevelType w:val="hybridMultilevel"/>
    <w:tmpl w:val="9704219A"/>
    <w:lvl w:ilvl="0" w:tplc="2160D1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765F47"/>
    <w:multiLevelType w:val="hybridMultilevel"/>
    <w:tmpl w:val="A492EE02"/>
    <w:lvl w:ilvl="0" w:tplc="7EFC1046">
      <w:start w:val="1"/>
      <w:numFmt w:val="decimal"/>
      <w:lvlText w:val="%1)"/>
      <w:lvlJc w:val="lef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B5"/>
    <w:rsid w:val="00004FC9"/>
    <w:rsid w:val="0001365D"/>
    <w:rsid w:val="00034AC5"/>
    <w:rsid w:val="00064DC7"/>
    <w:rsid w:val="000E371A"/>
    <w:rsid w:val="0013147B"/>
    <w:rsid w:val="004B42F4"/>
    <w:rsid w:val="00521F93"/>
    <w:rsid w:val="005C377C"/>
    <w:rsid w:val="0065066D"/>
    <w:rsid w:val="006A1374"/>
    <w:rsid w:val="006D39B5"/>
    <w:rsid w:val="007749B5"/>
    <w:rsid w:val="008E04D7"/>
    <w:rsid w:val="00980D66"/>
    <w:rsid w:val="009868BC"/>
    <w:rsid w:val="009A4CA5"/>
    <w:rsid w:val="00BC4489"/>
    <w:rsid w:val="00C30836"/>
    <w:rsid w:val="00D40AEA"/>
    <w:rsid w:val="00DC2DDF"/>
    <w:rsid w:val="00E56D08"/>
    <w:rsid w:val="00E935C5"/>
    <w:rsid w:val="00EA2CE0"/>
    <w:rsid w:val="00F322A2"/>
    <w:rsid w:val="00F76C57"/>
    <w:rsid w:val="00FC2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46D58"/>
  <w15:chartTrackingRefBased/>
  <w15:docId w15:val="{72E563F1-860B-4BE2-82E8-DF7489D8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9B5"/>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6D39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D39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D39B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D39B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D39B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D39B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39B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39B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39B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39B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D39B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D39B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D39B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D39B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D39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39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39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39B5"/>
    <w:rPr>
      <w:rFonts w:eastAsiaTheme="majorEastAsia" w:cstheme="majorBidi"/>
      <w:color w:val="272727" w:themeColor="text1" w:themeTint="D8"/>
    </w:rPr>
  </w:style>
  <w:style w:type="paragraph" w:styleId="Titre">
    <w:name w:val="Title"/>
    <w:basedOn w:val="Normal"/>
    <w:next w:val="Normal"/>
    <w:link w:val="TitreCar"/>
    <w:uiPriority w:val="10"/>
    <w:qFormat/>
    <w:rsid w:val="006D39B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39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39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D39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39B5"/>
    <w:pPr>
      <w:spacing w:before="160"/>
      <w:jc w:val="center"/>
    </w:pPr>
    <w:rPr>
      <w:i/>
      <w:iCs/>
      <w:color w:val="404040" w:themeColor="text1" w:themeTint="BF"/>
    </w:rPr>
  </w:style>
  <w:style w:type="character" w:customStyle="1" w:styleId="CitationCar">
    <w:name w:val="Citation Car"/>
    <w:basedOn w:val="Policepardfaut"/>
    <w:link w:val="Citation"/>
    <w:uiPriority w:val="29"/>
    <w:rsid w:val="006D39B5"/>
    <w:rPr>
      <w:i/>
      <w:iCs/>
      <w:color w:val="404040" w:themeColor="text1" w:themeTint="BF"/>
    </w:rPr>
  </w:style>
  <w:style w:type="paragraph" w:styleId="Paragraphedeliste">
    <w:name w:val="List Paragraph"/>
    <w:aliases w:val="Citation List,본문(내용),List Paragraph (numbered (a))"/>
    <w:basedOn w:val="Normal"/>
    <w:link w:val="ParagraphedelisteCar"/>
    <w:uiPriority w:val="34"/>
    <w:qFormat/>
    <w:rsid w:val="006D39B5"/>
    <w:pPr>
      <w:ind w:left="720"/>
      <w:contextualSpacing/>
    </w:pPr>
  </w:style>
  <w:style w:type="character" w:styleId="Accentuationintense">
    <w:name w:val="Intense Emphasis"/>
    <w:basedOn w:val="Policepardfaut"/>
    <w:uiPriority w:val="21"/>
    <w:qFormat/>
    <w:rsid w:val="006D39B5"/>
    <w:rPr>
      <w:i/>
      <w:iCs/>
      <w:color w:val="2F5496" w:themeColor="accent1" w:themeShade="BF"/>
    </w:rPr>
  </w:style>
  <w:style w:type="paragraph" w:styleId="Citationintense">
    <w:name w:val="Intense Quote"/>
    <w:basedOn w:val="Normal"/>
    <w:next w:val="Normal"/>
    <w:link w:val="CitationintenseCar"/>
    <w:uiPriority w:val="30"/>
    <w:qFormat/>
    <w:rsid w:val="006D3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D39B5"/>
    <w:rPr>
      <w:i/>
      <w:iCs/>
      <w:color w:val="2F5496" w:themeColor="accent1" w:themeShade="BF"/>
    </w:rPr>
  </w:style>
  <w:style w:type="character" w:styleId="Rfrenceintense">
    <w:name w:val="Intense Reference"/>
    <w:basedOn w:val="Policepardfaut"/>
    <w:uiPriority w:val="32"/>
    <w:qFormat/>
    <w:rsid w:val="006D39B5"/>
    <w:rPr>
      <w:b/>
      <w:bCs/>
      <w:smallCaps/>
      <w:color w:val="2F5496" w:themeColor="accent1" w:themeShade="BF"/>
      <w:spacing w:val="5"/>
    </w:rPr>
  </w:style>
  <w:style w:type="paragraph" w:styleId="En-tte">
    <w:name w:val="header"/>
    <w:basedOn w:val="Normal"/>
    <w:link w:val="En-tteCar"/>
    <w:uiPriority w:val="99"/>
    <w:unhideWhenUsed/>
    <w:rsid w:val="006D39B5"/>
    <w:pPr>
      <w:tabs>
        <w:tab w:val="center" w:pos="4536"/>
        <w:tab w:val="right" w:pos="9072"/>
      </w:tabs>
    </w:pPr>
  </w:style>
  <w:style w:type="character" w:customStyle="1" w:styleId="En-tteCar">
    <w:name w:val="En-tête Car"/>
    <w:basedOn w:val="Policepardfaut"/>
    <w:link w:val="En-tte"/>
    <w:uiPriority w:val="99"/>
    <w:rsid w:val="006D39B5"/>
    <w:rPr>
      <w:rFonts w:ascii="Times New Roman" w:eastAsia="Times New Roman" w:hAnsi="Times New Roman" w:cs="Times New Roman"/>
      <w:kern w:val="0"/>
      <w:sz w:val="24"/>
      <w:szCs w:val="24"/>
      <w:lang w:val="fr-FR" w:eastAsia="fr-FR"/>
      <w14:ligatures w14:val="none"/>
    </w:rPr>
  </w:style>
  <w:style w:type="paragraph" w:styleId="Pieddepage">
    <w:name w:val="footer"/>
    <w:aliases w:val="Pied de page-LP,EIE ligne LP pied de page"/>
    <w:basedOn w:val="Normal"/>
    <w:link w:val="PieddepageCar"/>
    <w:uiPriority w:val="99"/>
    <w:unhideWhenUsed/>
    <w:rsid w:val="006D39B5"/>
    <w:pPr>
      <w:tabs>
        <w:tab w:val="center" w:pos="4536"/>
        <w:tab w:val="right" w:pos="9072"/>
      </w:tabs>
    </w:pPr>
  </w:style>
  <w:style w:type="character" w:customStyle="1" w:styleId="PieddepageCar">
    <w:name w:val="Pied de page Car"/>
    <w:aliases w:val="Pied de page-LP Car,EIE ligne LP pied de page Car"/>
    <w:basedOn w:val="Policepardfaut"/>
    <w:link w:val="Pieddepage"/>
    <w:uiPriority w:val="99"/>
    <w:rsid w:val="006D39B5"/>
    <w:rPr>
      <w:rFonts w:ascii="Times New Roman" w:eastAsia="Times New Roman" w:hAnsi="Times New Roman" w:cs="Times New Roman"/>
      <w:kern w:val="0"/>
      <w:sz w:val="24"/>
      <w:szCs w:val="24"/>
      <w:lang w:val="fr-FR" w:eastAsia="fr-FR"/>
      <w14:ligatures w14:val="none"/>
    </w:rPr>
  </w:style>
  <w:style w:type="character" w:styleId="Lienhypertexte">
    <w:name w:val="Hyperlink"/>
    <w:uiPriority w:val="99"/>
    <w:rsid w:val="006D39B5"/>
    <w:rPr>
      <w:color w:val="0000FF"/>
      <w:u w:val="single"/>
    </w:rPr>
  </w:style>
  <w:style w:type="paragraph" w:styleId="Corpsdetexte">
    <w:name w:val="Body Text"/>
    <w:basedOn w:val="Normal"/>
    <w:link w:val="CorpsdetexteCar"/>
    <w:rsid w:val="006D39B5"/>
    <w:pPr>
      <w:tabs>
        <w:tab w:val="left" w:pos="284"/>
      </w:tabs>
      <w:suppressAutoHyphens/>
      <w:spacing w:after="120"/>
      <w:jc w:val="both"/>
    </w:pPr>
    <w:rPr>
      <w:lang w:val="en-GB" w:eastAsia="ar-SA"/>
    </w:rPr>
  </w:style>
  <w:style w:type="character" w:customStyle="1" w:styleId="CorpsdetexteCar">
    <w:name w:val="Corps de texte Car"/>
    <w:basedOn w:val="Policepardfaut"/>
    <w:link w:val="Corpsdetexte"/>
    <w:rsid w:val="006D39B5"/>
    <w:rPr>
      <w:rFonts w:ascii="Times New Roman" w:eastAsia="Times New Roman" w:hAnsi="Times New Roman" w:cs="Times New Roman"/>
      <w:kern w:val="0"/>
      <w:sz w:val="24"/>
      <w:szCs w:val="24"/>
      <w:lang w:val="en-GB" w:eastAsia="ar-SA"/>
      <w14:ligatures w14:val="none"/>
    </w:rPr>
  </w:style>
  <w:style w:type="paragraph" w:customStyle="1" w:styleId="ChapterNumber">
    <w:name w:val="ChapterNumber"/>
    <w:rsid w:val="006D39B5"/>
    <w:pPr>
      <w:tabs>
        <w:tab w:val="left" w:pos="-720"/>
      </w:tabs>
      <w:suppressAutoHyphens/>
      <w:spacing w:after="0" w:line="240" w:lineRule="auto"/>
    </w:pPr>
    <w:rPr>
      <w:rFonts w:ascii="CG Times" w:eastAsia="Arial" w:hAnsi="CG Times" w:cs="Times New Roman"/>
      <w:kern w:val="0"/>
      <w:szCs w:val="20"/>
      <w:lang w:val="en-US" w:eastAsia="ar-SA"/>
      <w14:ligatures w14:val="none"/>
    </w:rPr>
  </w:style>
  <w:style w:type="paragraph" w:styleId="Sansinterligne">
    <w:name w:val="No Spacing"/>
    <w:link w:val="SansinterligneCar"/>
    <w:qFormat/>
    <w:rsid w:val="006D39B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SansinterligneCar">
    <w:name w:val="Sans interligne Car"/>
    <w:link w:val="Sansinterligne"/>
    <w:rsid w:val="006D39B5"/>
    <w:rPr>
      <w:rFonts w:ascii="Times New Roman" w:eastAsia="Times New Roman" w:hAnsi="Times New Roman" w:cs="Times New Roman"/>
      <w:kern w:val="0"/>
      <w:sz w:val="24"/>
      <w:szCs w:val="24"/>
      <w:lang w:val="en-US"/>
      <w14:ligatures w14:val="none"/>
    </w:rPr>
  </w:style>
  <w:style w:type="character" w:customStyle="1" w:styleId="ParagraphedelisteCar">
    <w:name w:val="Paragraphe de liste Car"/>
    <w:aliases w:val="Citation List Car,본문(내용) Car,List Paragraph (numbered (a)) Car"/>
    <w:basedOn w:val="Policepardfaut"/>
    <w:link w:val="Paragraphedeliste"/>
    <w:uiPriority w:val="34"/>
    <w:rsid w:val="0001365D"/>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aoguine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ngaly.konate@paaeg.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dg.com.gn" TargetMode="External"/><Relationship Id="rId1" Type="http://schemas.openxmlformats.org/officeDocument/2006/relationships/hyperlink" Target="mailto:infos@edg.com.g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1175</Words>
  <Characters>6466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Haven</dc:creator>
  <cp:keywords/>
  <dc:description/>
  <cp:lastModifiedBy>Bangaly KONATE</cp:lastModifiedBy>
  <cp:revision>3</cp:revision>
  <cp:lastPrinted>2025-04-29T10:02:00Z</cp:lastPrinted>
  <dcterms:created xsi:type="dcterms:W3CDTF">2025-05-20T12:44:00Z</dcterms:created>
  <dcterms:modified xsi:type="dcterms:W3CDTF">2025-05-20T12:59:00Z</dcterms:modified>
</cp:coreProperties>
</file>