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D0A8" w14:textId="59D46AA2" w:rsidR="00942213" w:rsidRPr="00B67429" w:rsidRDefault="00942213" w:rsidP="00B67429">
      <w:pPr>
        <w:jc w:val="both"/>
        <w:rPr>
          <w:rFonts w:ascii="Times New Roman" w:hAnsi="Times New Roman"/>
          <w:b/>
        </w:rPr>
      </w:pPr>
      <w:r w:rsidRPr="00D3207C">
        <w:rPr>
          <w:rFonts w:ascii="Times New Roman" w:hAnsi="Times New Roman"/>
          <w:b/>
        </w:rPr>
        <w:t xml:space="preserve">                                                                  </w:t>
      </w:r>
      <w:r w:rsidRPr="00D3207C">
        <w:rPr>
          <w:rFonts w:ascii="Times New Roman" w:hAnsi="Times New Roman"/>
          <w:b/>
          <w:noProof/>
          <w:lang w:eastAsia="tr-TR"/>
        </w:rPr>
        <w:drawing>
          <wp:inline distT="0" distB="0" distL="0" distR="0" wp14:anchorId="5B720480" wp14:editId="40237AC4">
            <wp:extent cx="977900" cy="973988"/>
            <wp:effectExtent l="0" t="0" r="0" b="0"/>
            <wp:docPr id="2" name="Resim 2" descr="C:\Users\ozan.surmelihindi\Desktop\Logo-IC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an.surmelihindi\Desktop\Logo-IC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8" cy="98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A43F" w14:textId="2099DDDB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08DBC0C2" w14:textId="77777777" w:rsidR="00566FAB" w:rsidRPr="00566FAB" w:rsidRDefault="00566FAB" w:rsidP="00F139BC">
      <w:pPr>
        <w:tabs>
          <w:tab w:val="left" w:pos="72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717E8AF8" w14:textId="306AB020" w:rsidR="00566FAB" w:rsidRPr="00F139BC" w:rsidRDefault="00566FAB" w:rsidP="00F139BC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C</w:t>
      </w:r>
      <w:r w:rsidR="00F139BC"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ountry</w:t>
      </w:r>
      <w:proofErr w:type="gramStart"/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: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D408B3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R</w:t>
      </w:r>
      <w:r w:rsidR="00F139BC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egional</w:t>
      </w:r>
      <w:proofErr w:type="gramEnd"/>
      <w:r w:rsidR="00D408B3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/</w:t>
      </w:r>
      <w:r w:rsidR="00F139BC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="00D408B3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M</w:t>
      </w:r>
      <w:r w:rsidR="00F139BC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ulti</w:t>
      </w:r>
      <w:r w:rsidR="00D408B3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-</w:t>
      </w:r>
      <w:r w:rsidR="00F139BC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country</w:t>
      </w:r>
      <w:proofErr w:type="gramEnd"/>
    </w:p>
    <w:p w14:paraId="1EA64AA6" w14:textId="12EBA1F1" w:rsidR="00566FAB" w:rsidRPr="00F139BC" w:rsidRDefault="00566FAB" w:rsidP="00F139BC">
      <w:pPr>
        <w:suppressAutoHyphens/>
        <w:spacing w:after="60" w:line="240" w:lineRule="auto"/>
        <w:ind w:left="2160" w:hanging="2160"/>
        <w:jc w:val="both"/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N</w:t>
      </w:r>
      <w:r w:rsidR="00F139BC"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ame of project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: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D408B3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Improving the Capacity of Small and Medium-Sized Enterprises (SMEs) and SME Support Institutions to Use Online Business-to-Business (B2B) Matchmaking Tools in OIC Member States</w:t>
      </w:r>
    </w:p>
    <w:p w14:paraId="6C8A9433" w14:textId="2E32EA9A" w:rsidR="00566FAB" w:rsidRPr="00F139BC" w:rsidRDefault="00566FAB" w:rsidP="00F139BC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S</w:t>
      </w:r>
      <w:r w:rsidR="00F139BC"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ector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: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D408B3" w:rsidRPr="00E54789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SME Development</w:t>
      </w:r>
    </w:p>
    <w:p w14:paraId="1B6456D3" w14:textId="74B046D5" w:rsidR="00566FAB" w:rsidRPr="00F139BC" w:rsidRDefault="00566FAB" w:rsidP="00F139BC">
      <w:pPr>
        <w:suppressAutoHyphens/>
        <w:spacing w:after="60" w:line="240" w:lineRule="auto"/>
        <w:ind w:left="2160" w:hanging="2160"/>
        <w:jc w:val="both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C</w:t>
      </w:r>
      <w:r w:rsidR="00F139BC" w:rsidRPr="00F139BC">
        <w:rPr>
          <w:rFonts w:ascii="Times New Roman" w:eastAsia="Calibri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onsulting services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:</w:t>
      </w:r>
      <w:r w:rsidR="00F139BC" w:rsidRPr="00F139BC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1C1C62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Capacity development, promoting SME internationalization and development of B2B platform for SME support organizations</w:t>
      </w:r>
    </w:p>
    <w:p w14:paraId="73639E83" w14:textId="6770DA38" w:rsidR="00566FAB" w:rsidRPr="00F139BC" w:rsidRDefault="00566FAB" w:rsidP="00BE43E8">
      <w:pPr>
        <w:suppressAutoHyphens/>
        <w:spacing w:after="60" w:line="240" w:lineRule="auto"/>
        <w:ind w:left="2160" w:hanging="2160"/>
        <w:jc w:val="both"/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 xml:space="preserve">Mode of </w:t>
      </w:r>
      <w:r w:rsidR="00F139BC"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f</w:t>
      </w:r>
      <w:r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inancing:</w:t>
      </w:r>
      <w:r w:rsidR="00F139BC"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ab/>
      </w:r>
      <w:r w:rsidR="001C1C62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Is</w:t>
      </w:r>
      <w:r w:rsidR="00D126A0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lamic Development Bank (Is</w:t>
      </w:r>
      <w:r w:rsidR="001C1C62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DB</w:t>
      </w:r>
      <w:r w:rsidR="00D126A0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) </w:t>
      </w:r>
      <w:r w:rsidR="00942213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and I</w:t>
      </w:r>
      <w:r w:rsidR="00E86C16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slamic </w:t>
      </w:r>
      <w:r w:rsidR="00942213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C</w:t>
      </w:r>
      <w:r w:rsidR="00E86C16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entre </w:t>
      </w:r>
      <w:r w:rsidR="00D126A0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for </w:t>
      </w:r>
      <w:r w:rsidR="00942213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D</w:t>
      </w:r>
      <w:r w:rsidR="00E86C16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evelopment of Trade (ICDT)</w:t>
      </w:r>
      <w:r w:rsidR="00942213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1C1C62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Grant</w:t>
      </w:r>
      <w:r w:rsidR="00D126A0" w:rsidRPr="00BE43E8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s</w:t>
      </w:r>
    </w:p>
    <w:p w14:paraId="4FC4FAD4" w14:textId="1908B14F" w:rsidR="00566FAB" w:rsidRPr="00F139BC" w:rsidRDefault="00566FA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Financing No.</w:t>
      </w:r>
      <w:proofErr w:type="gramStart"/>
      <w:r w:rsidRPr="00F139B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>:</w:t>
      </w:r>
      <w:r w:rsidRPr="00F139BC">
        <w:rPr>
          <w:rFonts w:ascii="Times New Roman" w:eastAsia="Times New Roman" w:hAnsi="Times New Roman" w:cs="Times New Roman"/>
          <w:iCs/>
          <w:color w:val="000000" w:themeColor="text1"/>
          <w:spacing w:val="-2"/>
          <w:sz w:val="24"/>
          <w:szCs w:val="24"/>
        </w:rPr>
        <w:t xml:space="preserve"> </w:t>
      </w:r>
      <w:r w:rsidR="009F4F12">
        <w:rPr>
          <w:rFonts w:ascii="Times New Roman" w:eastAsia="Times New Roman" w:hAnsi="Times New Roman" w:cs="Times New Roman"/>
          <w:iCs/>
          <w:color w:val="000000" w:themeColor="text1"/>
          <w:spacing w:val="-2"/>
          <w:sz w:val="24"/>
          <w:szCs w:val="24"/>
        </w:rPr>
        <w:tab/>
      </w:r>
      <w:r w:rsidR="001C1C62" w:rsidRPr="00F139B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ZZZ2815</w:t>
      </w:r>
      <w:proofErr w:type="gramEnd"/>
    </w:p>
    <w:p w14:paraId="52D77EF1" w14:textId="77777777"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02DBAEB" w14:textId="3DAD2D5E" w:rsidR="00BA7A4A" w:rsidRPr="00290705" w:rsidRDefault="00E86C16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The IsDB</w:t>
      </w:r>
      <w:r w:rsidRPr="00B67429">
        <w:rPr>
          <w:rFonts w:ascii="Times New Roman" w:eastAsia="Times New Roman" w:hAnsi="Times New Roman" w:cs="Times New Roman"/>
          <w:iCs/>
          <w:color w:val="000000" w:themeColor="text1"/>
          <w:spacing w:val="-2"/>
          <w:sz w:val="24"/>
          <w:szCs w:val="24"/>
        </w:rPr>
        <w:t xml:space="preserve"> </w:t>
      </w:r>
      <w:r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and ICD</w:t>
      </w:r>
      <w:r w:rsidR="00DC4A0C"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T approved</w:t>
      </w:r>
      <w:r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 xml:space="preserve"> grant</w:t>
      </w:r>
      <w:r w:rsidR="00DC4A0C"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s</w:t>
      </w:r>
      <w:r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 xml:space="preserve"> for</w:t>
      </w:r>
      <w:r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DC4A0C" w:rsidRPr="00B67429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</w:rPr>
        <w:t>“</w:t>
      </w:r>
      <w:r w:rsidR="00A82520" w:rsidRPr="00B67429">
        <w:rPr>
          <w:rFonts w:ascii="Times New Roman" w:eastAsia="Calibri" w:hAnsi="Times New Roman" w:cs="Times New Roman"/>
          <w:b/>
          <w:bCs/>
          <w:i/>
          <w:color w:val="000000" w:themeColor="text1"/>
          <w:spacing w:val="-2"/>
          <w:sz w:val="24"/>
          <w:szCs w:val="24"/>
        </w:rPr>
        <w:t>Improving the Capacity of Small and Medium-Sized Enterprises (SMEs) and SME Support Institutions to Use Online Business-to-Business (B2B) Matchmaking Tools in OIC Member States</w:t>
      </w:r>
      <w:r w:rsidR="00DC4A0C" w:rsidRPr="00B67429">
        <w:rPr>
          <w:rFonts w:ascii="Times New Roman" w:eastAsia="Calibri" w:hAnsi="Times New Roman" w:cs="Times New Roman"/>
          <w:b/>
          <w:bCs/>
          <w:i/>
          <w:color w:val="000000" w:themeColor="text1"/>
          <w:spacing w:val="-2"/>
          <w:sz w:val="24"/>
          <w:szCs w:val="24"/>
        </w:rPr>
        <w:t>”</w:t>
      </w:r>
      <w:r w:rsidR="00DC4A0C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DC4A0C"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>project</w:t>
      </w:r>
      <w:r w:rsidR="00566FAB"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 xml:space="preserve"> and intends to</w:t>
      </w:r>
      <w:r w:rsidR="00566FAB"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apply part of the proceeds for consultant services.  </w:t>
      </w:r>
    </w:p>
    <w:p w14:paraId="65689B44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9196DFF" w14:textId="6B9B4CE7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3E6146" w:rsidRPr="003E614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(i) needs</w:t>
      </w:r>
      <w:r w:rsidR="003E614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assessment, training design and capacity development for SME support institutions; (ii) development, implementation, and institutional capacity development for B2B platform utilization; and (iii) promoting SME internationalization. Implementation period of the assignment will be </w:t>
      </w:r>
      <w:r w:rsidR="00524897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24 </w:t>
      </w:r>
      <w:proofErr w:type="gramStart"/>
      <w:r w:rsidR="00524897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months</w:t>
      </w:r>
      <w:proofErr w:type="gramEnd"/>
      <w:r w:rsidR="00524897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and </w:t>
      </w:r>
      <w:r w:rsidR="00AA380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the expected</w:t>
      </w:r>
      <w:r w:rsidR="00524897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commencement is Q3 2025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 </w:t>
      </w:r>
    </w:p>
    <w:p w14:paraId="5F9DB7DC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50BAC" w14:textId="59B21958" w:rsidR="00566FAB" w:rsidRPr="00290705" w:rsidRDefault="00BA7A4A" w:rsidP="00290705">
      <w:pPr>
        <w:suppressAutoHyphens/>
        <w:jc w:val="both"/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</w:pPr>
      <w:r w:rsidRPr="0029070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The detailed Terms of Reference (TOR) for the assignment </w:t>
      </w:r>
      <w:r w:rsidR="000A6EEF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 xml:space="preserve">are attached to this </w:t>
      </w:r>
      <w:r w:rsidR="00290705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R</w:t>
      </w:r>
      <w:r w:rsidR="000A6EEF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 xml:space="preserve">equest for </w:t>
      </w:r>
      <w:r w:rsidR="00290705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E</w:t>
      </w:r>
      <w:r w:rsidR="000A6EEF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 xml:space="preserve">xpressions of </w:t>
      </w:r>
      <w:r w:rsidR="00290705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I</w:t>
      </w:r>
      <w:r w:rsidR="000A6EEF" w:rsidRPr="00290705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nterest.</w:t>
      </w:r>
    </w:p>
    <w:p w14:paraId="479DBA4C" w14:textId="74280921" w:rsidR="00BA7A4A" w:rsidRPr="008E7C45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The </w:t>
      </w:r>
      <w:r w:rsidR="00A82520" w:rsidRPr="00290705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ICDT</w:t>
      </w: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now invites eligible </w:t>
      </w:r>
      <w:r w:rsidR="00BA7A4A"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consulting firms (“Consultants”) </w:t>
      </w: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to indicate their interest in providing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services. Interested </w:t>
      </w:r>
      <w:r w:rsidR="00BA7A4A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364008EC" w14:textId="77777777" w:rsidR="0076218B" w:rsidRPr="008E7C45" w:rsidRDefault="0076218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1D0550A" w14:textId="77777777" w:rsidR="00214D83" w:rsidRPr="00721C6F" w:rsidRDefault="00BA7A4A" w:rsidP="00E575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6F">
        <w:rPr>
          <w:rFonts w:ascii="Times New Roman" w:hAnsi="Times New Roman"/>
          <w:spacing w:val="-2"/>
          <w:sz w:val="24"/>
          <w:szCs w:val="24"/>
        </w:rPr>
        <w:t xml:space="preserve">The shortlisting criteria are: </w:t>
      </w:r>
    </w:p>
    <w:p w14:paraId="57B0C801" w14:textId="00187630" w:rsidR="00A8270C" w:rsidRPr="00721C6F" w:rsidRDefault="00A8270C" w:rsidP="00A8270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E2EF922" w14:textId="31D364CB" w:rsidR="00A8270C" w:rsidRPr="00777564" w:rsidRDefault="00A8270C" w:rsidP="0077756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720" w:hanging="45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77756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>Technical Expertise and Experience</w:t>
      </w:r>
      <w:r w:rsidR="00F8701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(30%)</w:t>
      </w:r>
    </w:p>
    <w:p w14:paraId="1B187069" w14:textId="77777777" w:rsidR="00A8270C" w:rsidRPr="00A8270C" w:rsidRDefault="00A8270C" w:rsidP="00E57581">
      <w:pPr>
        <w:numPr>
          <w:ilvl w:val="0"/>
          <w:numId w:val="3"/>
        </w:numPr>
        <w:tabs>
          <w:tab w:val="clear" w:pos="144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Software Development License</w:t>
      </w:r>
      <w:r w:rsidRPr="00A8270C">
        <w:rPr>
          <w:rFonts w:ascii="Times New Roman" w:hAnsi="Times New Roman"/>
          <w:spacing w:val="-2"/>
          <w:sz w:val="24"/>
          <w:szCs w:val="24"/>
        </w:rPr>
        <w:t>: Valid license for performing software development work in one of the OIC countries.</w:t>
      </w:r>
    </w:p>
    <w:p w14:paraId="139D24B8" w14:textId="0CA1D923" w:rsidR="00A8270C" w:rsidRPr="00A8270C" w:rsidRDefault="00A8270C" w:rsidP="00187481">
      <w:pPr>
        <w:numPr>
          <w:ilvl w:val="0"/>
          <w:numId w:val="3"/>
        </w:numPr>
        <w:tabs>
          <w:tab w:val="clear" w:pos="144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Experience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: Proven track record in developing </w:t>
      </w:r>
      <w:r w:rsidR="008C3B9F">
        <w:rPr>
          <w:rFonts w:ascii="Times New Roman" w:hAnsi="Times New Roman"/>
          <w:spacing w:val="-2"/>
          <w:sz w:val="24"/>
          <w:szCs w:val="24"/>
        </w:rPr>
        <w:t>similar</w:t>
      </w:r>
      <w:r w:rsidR="00373133">
        <w:rPr>
          <w:rFonts w:ascii="Times New Roman" w:hAnsi="Times New Roman"/>
          <w:spacing w:val="-2"/>
          <w:sz w:val="24"/>
          <w:szCs w:val="24"/>
        </w:rPr>
        <w:t xml:space="preserve"> B2B</w:t>
      </w:r>
      <w:r w:rsidR="00F009A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73133">
        <w:rPr>
          <w:rFonts w:ascii="Times New Roman" w:hAnsi="Times New Roman"/>
          <w:spacing w:val="-2"/>
          <w:sz w:val="24"/>
          <w:szCs w:val="24"/>
        </w:rPr>
        <w:t>matchmaking</w:t>
      </w:r>
      <w:r w:rsidR="00F009A3">
        <w:rPr>
          <w:rFonts w:ascii="Times New Roman" w:hAnsi="Times New Roman"/>
          <w:spacing w:val="-2"/>
          <w:sz w:val="24"/>
          <w:szCs w:val="24"/>
        </w:rPr>
        <w:t>/networking</w:t>
      </w:r>
      <w:r w:rsidR="0037313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270C">
        <w:rPr>
          <w:rFonts w:ascii="Times New Roman" w:hAnsi="Times New Roman"/>
          <w:spacing w:val="-2"/>
          <w:sz w:val="24"/>
          <w:szCs w:val="24"/>
        </w:rPr>
        <w:t>platforms</w:t>
      </w:r>
      <w:r w:rsidR="00373133">
        <w:rPr>
          <w:rFonts w:ascii="Times New Roman" w:hAnsi="Times New Roman"/>
          <w:spacing w:val="-2"/>
          <w:sz w:val="24"/>
          <w:szCs w:val="24"/>
        </w:rPr>
        <w:t>.</w:t>
      </w:r>
    </w:p>
    <w:p w14:paraId="0E965FA5" w14:textId="77777777" w:rsidR="00A8270C" w:rsidRDefault="00A8270C" w:rsidP="00E57581">
      <w:pPr>
        <w:numPr>
          <w:ilvl w:val="0"/>
          <w:numId w:val="3"/>
        </w:numPr>
        <w:tabs>
          <w:tab w:val="clear" w:pos="144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Regional Experience</w:t>
      </w:r>
      <w:r w:rsidRPr="00A8270C">
        <w:rPr>
          <w:rFonts w:ascii="Times New Roman" w:hAnsi="Times New Roman"/>
          <w:spacing w:val="-2"/>
          <w:sz w:val="24"/>
          <w:szCs w:val="24"/>
        </w:rPr>
        <w:t>: Demonstrated experience working in OIC countries.</w:t>
      </w:r>
    </w:p>
    <w:p w14:paraId="257A4259" w14:textId="77777777" w:rsidR="00E57581" w:rsidRPr="00A8270C" w:rsidRDefault="00E57581" w:rsidP="00E57581">
      <w:pPr>
        <w:spacing w:after="0" w:line="240" w:lineRule="auto"/>
        <w:ind w:left="144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9DFE448" w14:textId="47C85524" w:rsidR="00A8270C" w:rsidRPr="00777564" w:rsidRDefault="00A8270C" w:rsidP="0077756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720" w:hanging="45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77756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>Project Management and Implementation Capacity</w:t>
      </w:r>
      <w:r w:rsidR="00F8701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(25%)</w:t>
      </w:r>
    </w:p>
    <w:p w14:paraId="5D455F7E" w14:textId="4218B59E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Project Management: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Proven track record in managing similar projects, including developing and documenting project </w:t>
      </w:r>
      <w:r w:rsidR="00F70151">
        <w:rPr>
          <w:rFonts w:ascii="Times New Roman" w:hAnsi="Times New Roman"/>
          <w:spacing w:val="-2"/>
          <w:sz w:val="24"/>
          <w:szCs w:val="24"/>
        </w:rPr>
        <w:t>outcomes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and resource requirements.</w:t>
      </w:r>
    </w:p>
    <w:p w14:paraId="0146C4D9" w14:textId="77777777" w:rsidR="00A8270C" w:rsidRPr="00CA090D" w:rsidRDefault="00A8270C" w:rsidP="00E65A9D">
      <w:pPr>
        <w:numPr>
          <w:ilvl w:val="0"/>
          <w:numId w:val="3"/>
        </w:numPr>
        <w:tabs>
          <w:tab w:val="clear" w:pos="144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CA090D">
        <w:rPr>
          <w:rFonts w:ascii="Times New Roman" w:hAnsi="Times New Roman"/>
          <w:b/>
          <w:bCs/>
          <w:spacing w:val="-2"/>
          <w:sz w:val="24"/>
          <w:szCs w:val="24"/>
        </w:rPr>
        <w:t>Output Delivery:</w:t>
      </w:r>
      <w:r w:rsidRPr="00CA090D">
        <w:rPr>
          <w:rFonts w:ascii="Times New Roman" w:hAnsi="Times New Roman"/>
          <w:spacing w:val="-2"/>
          <w:sz w:val="24"/>
          <w:szCs w:val="24"/>
        </w:rPr>
        <w:t xml:space="preserve"> Ability to deliver outputs on time, within budget, and to </w:t>
      </w:r>
      <w:proofErr w:type="gramStart"/>
      <w:r w:rsidRPr="00CA090D">
        <w:rPr>
          <w:rFonts w:ascii="Times New Roman" w:hAnsi="Times New Roman"/>
          <w:spacing w:val="-2"/>
          <w:sz w:val="24"/>
          <w:szCs w:val="24"/>
        </w:rPr>
        <w:t>stated</w:t>
      </w:r>
      <w:proofErr w:type="gramEnd"/>
      <w:r w:rsidRPr="00CA090D">
        <w:rPr>
          <w:rFonts w:ascii="Times New Roman" w:hAnsi="Times New Roman"/>
          <w:spacing w:val="-2"/>
          <w:sz w:val="24"/>
          <w:szCs w:val="24"/>
        </w:rPr>
        <w:t xml:space="preserve"> functionality and quality.</w:t>
      </w:r>
    </w:p>
    <w:p w14:paraId="7BAE47E3" w14:textId="77777777" w:rsidR="00E57581" w:rsidRPr="00A8270C" w:rsidRDefault="00E57581" w:rsidP="00E57581">
      <w:pPr>
        <w:spacing w:after="0" w:line="240" w:lineRule="auto"/>
        <w:ind w:left="144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FA5947" w14:textId="018636A2" w:rsidR="00A8270C" w:rsidRPr="00777564" w:rsidRDefault="00A8270C" w:rsidP="0077756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720" w:hanging="45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77756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>Technical Capabilities</w:t>
      </w:r>
      <w:r w:rsidR="00F8701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(20%)</w:t>
      </w:r>
    </w:p>
    <w:p w14:paraId="293FC539" w14:textId="03D8DCBF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Platform Development: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Experience in developing and fully operationalizing </w:t>
      </w:r>
      <w:r w:rsidR="00CA090D">
        <w:rPr>
          <w:rFonts w:ascii="Times New Roman" w:hAnsi="Times New Roman"/>
          <w:spacing w:val="-2"/>
          <w:sz w:val="24"/>
          <w:szCs w:val="24"/>
        </w:rPr>
        <w:t xml:space="preserve">similar </w:t>
      </w:r>
      <w:r w:rsidRPr="00A8270C">
        <w:rPr>
          <w:rFonts w:ascii="Times New Roman" w:hAnsi="Times New Roman"/>
          <w:spacing w:val="-2"/>
          <w:sz w:val="24"/>
          <w:szCs w:val="24"/>
        </w:rPr>
        <w:t>B2B</w:t>
      </w:r>
      <w:r w:rsidR="00F009A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090D">
        <w:rPr>
          <w:rFonts w:ascii="Times New Roman" w:hAnsi="Times New Roman"/>
          <w:spacing w:val="-2"/>
          <w:sz w:val="24"/>
          <w:szCs w:val="24"/>
        </w:rPr>
        <w:t>matchmaking</w:t>
      </w:r>
      <w:r w:rsidR="00F009A3">
        <w:rPr>
          <w:rFonts w:ascii="Times New Roman" w:hAnsi="Times New Roman"/>
          <w:spacing w:val="-2"/>
          <w:sz w:val="24"/>
          <w:szCs w:val="24"/>
        </w:rPr>
        <w:t xml:space="preserve">/networking </w:t>
      </w:r>
      <w:r w:rsidRPr="00A8270C">
        <w:rPr>
          <w:rFonts w:ascii="Times New Roman" w:hAnsi="Times New Roman"/>
          <w:spacing w:val="-2"/>
          <w:sz w:val="24"/>
          <w:szCs w:val="24"/>
        </w:rPr>
        <w:t>platforms.</w:t>
      </w:r>
    </w:p>
    <w:p w14:paraId="0E7DE52D" w14:textId="6A4971DE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Security Architecture: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Knowledge of secure coding practices, and compliance with international security standards.</w:t>
      </w:r>
    </w:p>
    <w:p w14:paraId="0ECDB9CB" w14:textId="77777777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Scalability and Performance: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Ability to design solutions for horizontal and vertical scaling.</w:t>
      </w:r>
    </w:p>
    <w:p w14:paraId="055D52B1" w14:textId="77777777" w:rsid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Usability Engineering: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Experience in scenario-based usability testing and iterative product improvements.</w:t>
      </w:r>
    </w:p>
    <w:p w14:paraId="017191C8" w14:textId="77777777" w:rsidR="00E57581" w:rsidRPr="00A8270C" w:rsidRDefault="00E57581" w:rsidP="00E57581">
      <w:pPr>
        <w:spacing w:after="0" w:line="240" w:lineRule="auto"/>
        <w:ind w:left="144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839F307" w14:textId="378402B1" w:rsidR="00A8270C" w:rsidRPr="00777564" w:rsidRDefault="00A8270C" w:rsidP="0077756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720" w:hanging="45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77756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>Training and Capacity Building</w:t>
      </w:r>
      <w:r w:rsidR="00F8701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(15%)</w:t>
      </w:r>
    </w:p>
    <w:p w14:paraId="122D47DF" w14:textId="0576BAA3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Training Programs: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Experience in designing and delivering structured</w:t>
      </w:r>
      <w:r w:rsidR="002725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270C">
        <w:rPr>
          <w:rFonts w:ascii="Times New Roman" w:hAnsi="Times New Roman"/>
          <w:spacing w:val="-2"/>
          <w:sz w:val="24"/>
          <w:szCs w:val="24"/>
        </w:rPr>
        <w:t>training programs.</w:t>
      </w:r>
    </w:p>
    <w:p w14:paraId="6E2AFC97" w14:textId="7A2115B3" w:rsid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Knowledge Transfer: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Ability to provide comprehensive guides and admin manuals, emphasizing operational independence and maintainability.</w:t>
      </w:r>
    </w:p>
    <w:p w14:paraId="5A576FD7" w14:textId="77777777" w:rsidR="00E57581" w:rsidRPr="00A8270C" w:rsidRDefault="00E57581" w:rsidP="00E57581">
      <w:pPr>
        <w:spacing w:after="0" w:line="240" w:lineRule="auto"/>
        <w:ind w:left="144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229311C" w14:textId="65E0F5CE" w:rsidR="00A8270C" w:rsidRPr="00777564" w:rsidRDefault="00A8270C" w:rsidP="0077756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720" w:hanging="45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77756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>Event Organization and Management</w:t>
      </w:r>
      <w:r w:rsidR="00F8701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(10%)</w:t>
      </w:r>
    </w:p>
    <w:p w14:paraId="014DA337" w14:textId="6CA0680D" w:rsidR="00A8270C" w:rsidRP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Onsite Events: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Experience in organizing physical B2B matchmaking</w:t>
      </w:r>
      <w:r w:rsidR="00DB1199">
        <w:rPr>
          <w:rFonts w:ascii="Times New Roman" w:hAnsi="Times New Roman"/>
          <w:spacing w:val="-2"/>
          <w:sz w:val="24"/>
          <w:szCs w:val="24"/>
        </w:rPr>
        <w:t>/networking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events, including managing logistics and ensuring smooth implementation.</w:t>
      </w:r>
    </w:p>
    <w:p w14:paraId="1A7B369F" w14:textId="78468F46" w:rsidR="00A8270C" w:rsidRDefault="00A8270C" w:rsidP="00E65A9D">
      <w:pPr>
        <w:numPr>
          <w:ilvl w:val="0"/>
          <w:numId w:val="3"/>
        </w:numPr>
        <w:tabs>
          <w:tab w:val="clear" w:pos="1440"/>
          <w:tab w:val="num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A8270C">
        <w:rPr>
          <w:rFonts w:ascii="Times New Roman" w:hAnsi="Times New Roman"/>
          <w:b/>
          <w:bCs/>
          <w:spacing w:val="-2"/>
          <w:sz w:val="24"/>
          <w:szCs w:val="24"/>
        </w:rPr>
        <w:t>Online Events: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Experience in organizing online B2B matchmaking</w:t>
      </w:r>
      <w:r w:rsidR="00731662">
        <w:rPr>
          <w:rFonts w:ascii="Times New Roman" w:hAnsi="Times New Roman"/>
          <w:spacing w:val="-2"/>
          <w:sz w:val="24"/>
          <w:szCs w:val="24"/>
        </w:rPr>
        <w:t>/networking</w:t>
      </w:r>
      <w:r w:rsidRPr="00A8270C">
        <w:rPr>
          <w:rFonts w:ascii="Times New Roman" w:hAnsi="Times New Roman"/>
          <w:spacing w:val="-2"/>
          <w:sz w:val="24"/>
          <w:szCs w:val="24"/>
        </w:rPr>
        <w:t xml:space="preserve"> events and encouraging maximum attendance from target countries.</w:t>
      </w:r>
    </w:p>
    <w:p w14:paraId="09BEBD65" w14:textId="77777777" w:rsidR="00290705" w:rsidRDefault="00290705" w:rsidP="00290705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14:paraId="0028D4AF" w14:textId="75749186" w:rsidR="00566FAB" w:rsidRPr="008E7C45" w:rsidRDefault="00BA7A4A" w:rsidP="00290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</w:rPr>
        <w:t>Key Experts will not be evaluated at the shortlisting stage</w:t>
      </w:r>
      <w:r w:rsidR="00290705">
        <w:rPr>
          <w:rFonts w:ascii="Times New Roman" w:hAnsi="Times New Roman"/>
          <w:spacing w:val="-2"/>
          <w:sz w:val="24"/>
        </w:rPr>
        <w:t>.</w:t>
      </w:r>
    </w:p>
    <w:p w14:paraId="3973F938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14:paraId="115D1A1C" w14:textId="43A8CEF2" w:rsidR="00610EC0" w:rsidRPr="00214D83" w:rsidRDefault="00610EC0" w:rsidP="00290705">
      <w:pPr>
        <w:autoSpaceDE w:val="0"/>
        <w:autoSpaceDN w:val="0"/>
        <w:spacing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93FA4">
        <w:rPr>
          <w:rFonts w:asciiTheme="majorBidi" w:hAnsiTheme="majorBidi" w:cstheme="majorBidi"/>
          <w:sz w:val="24"/>
          <w:szCs w:val="24"/>
        </w:rPr>
        <w:t xml:space="preserve">The attention of interested Consultants is drawn to 1.12.1 and 1.12.2 paragraphs of the </w:t>
      </w:r>
      <w:r w:rsidRPr="00214D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Procurement </w:t>
      </w:r>
      <w:proofErr w:type="gramStart"/>
      <w:r w:rsidRPr="00214D83">
        <w:rPr>
          <w:rFonts w:asciiTheme="majorBidi" w:hAnsiTheme="majorBidi" w:cstheme="majorBidi"/>
          <w:color w:val="000000" w:themeColor="text1"/>
          <w:sz w:val="24"/>
          <w:szCs w:val="24"/>
        </w:rPr>
        <w:t>Policy  of</w:t>
      </w:r>
      <w:proofErr w:type="gramEnd"/>
      <w:r w:rsidRPr="00214D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Pr="00214D83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Guidelines for the Procurement of Consultancy Services under Islamic Development Bank Project Financing</w:t>
      </w:r>
      <w:r w:rsidR="00A82520" w:rsidRPr="00214D83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 xml:space="preserve"> April 2019,</w:t>
      </w:r>
      <w:r w:rsidR="00A82520" w:rsidRPr="00214D8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82520" w:rsidRPr="00214D83"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revised in February 2023</w:t>
      </w:r>
      <w:r w:rsidRPr="00214D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(the “Procurement Guidelines”), setting forth IsDB’s policy on conflict of interest.</w:t>
      </w:r>
    </w:p>
    <w:p w14:paraId="3D202620" w14:textId="77777777"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 xml:space="preserve">associate with other firms to enhance their </w:t>
      </w:r>
      <w:proofErr w:type="gramStart"/>
      <w:r w:rsidR="00EA537C">
        <w:rPr>
          <w:rFonts w:ascii="Times New Roman" w:hAnsi="Times New Roman"/>
          <w:spacing w:val="-2"/>
          <w:sz w:val="24"/>
        </w:rPr>
        <w:t>qualifications</w:t>
      </w:r>
      <w:r w:rsidR="00EA537C" w:rsidRPr="001C4752">
        <w:rPr>
          <w:rFonts w:ascii="Times New Roman" w:hAnsi="Times New Roman"/>
          <w:sz w:val="24"/>
          <w:szCs w:val="24"/>
        </w:rPr>
        <w:t>, but</w:t>
      </w:r>
      <w:proofErr w:type="gramEnd"/>
      <w:r w:rsidR="00EA537C" w:rsidRPr="001C4752">
        <w:rPr>
          <w:rFonts w:ascii="Times New Roman" w:hAnsi="Times New Roman"/>
          <w:sz w:val="24"/>
          <w:szCs w:val="24"/>
        </w:rPr>
        <w:t xml:space="preserve">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63738B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3544DC6" w14:textId="53D68AFB" w:rsidR="00566FAB" w:rsidRPr="0029070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A consultant will be selected in accordance with the </w:t>
      </w:r>
      <w:r w:rsidR="00A82520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Quality and Cost-Based Selection with shortlisting of the consultancy firms from the IsDB M</w:t>
      </w:r>
      <w:r w:rsidR="00290705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ember </w:t>
      </w:r>
      <w:r w:rsidR="00A82520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C</w:t>
      </w:r>
      <w:r w:rsidR="00290705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ountrie</w:t>
      </w:r>
      <w:r w:rsidR="00A82520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s</w:t>
      </w:r>
      <w:r w:rsidR="00EA537C" w:rsidRPr="0029070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="006B2A4D"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(QCBS-MC)</w:t>
      </w:r>
      <w:r w:rsidR="006B2A4D" w:rsidRPr="0029070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="00EA537C" w:rsidRPr="00290705">
        <w:rPr>
          <w:rFonts w:ascii="Times New Roman" w:hAnsi="Times New Roman"/>
          <w:color w:val="000000" w:themeColor="text1"/>
          <w:spacing w:val="-2"/>
          <w:sz w:val="24"/>
        </w:rPr>
        <w:t>method set out in the Procurement Guidelines</w:t>
      </w: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74387A32" w14:textId="77777777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5B4C521" w14:textId="15B45523" w:rsidR="00566FAB" w:rsidRPr="0029070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lastRenderedPageBreak/>
        <w:t xml:space="preserve">Interested consultants may obtain further information at the address below during office </w:t>
      </w:r>
      <w:proofErr w:type="gramStart"/>
      <w:r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hours</w:t>
      </w:r>
      <w:proofErr w:type="gramEnd"/>
      <w:r w:rsidRPr="00290705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290705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09:00 to 17:00 hours</w:t>
      </w:r>
      <w:r w:rsidR="006B2A4D" w:rsidRPr="00290705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, (GMT+1)</w:t>
      </w:r>
      <w:r w:rsidR="006B2A4D" w:rsidRPr="00290705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72FB4B4B" w14:textId="77777777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D8460F3" w14:textId="2311DC5C" w:rsidR="00566FAB" w:rsidRPr="00524897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524897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Expressions of interest must be delivered </w:t>
      </w:r>
      <w:r w:rsidR="00EA537C" w:rsidRPr="00524897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in a written form </w:t>
      </w:r>
      <w:r w:rsidRPr="00524897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to the address below </w:t>
      </w:r>
      <w:r w:rsidR="006B2A4D" w:rsidRPr="00F271B4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by </w:t>
      </w:r>
      <w:r w:rsidR="003E7D04" w:rsidRPr="00F271B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3</w:t>
      </w:r>
      <w:r w:rsidR="00AA026D" w:rsidRPr="00F271B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0</w:t>
      </w:r>
      <w:r w:rsidR="00AA026D" w:rsidRPr="00F271B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  <w:vertAlign w:val="superscript"/>
        </w:rPr>
        <w:t>th</w:t>
      </w:r>
      <w:r w:rsidR="006B2A4D" w:rsidRPr="00F271B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June 2025</w:t>
      </w:r>
      <w:r w:rsidR="00AA026D" w:rsidRPr="00F271B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.</w:t>
      </w:r>
    </w:p>
    <w:p w14:paraId="4A8828E9" w14:textId="77777777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4965C4B" w14:textId="689EA7B5" w:rsidR="00566FAB" w:rsidRPr="00524897" w:rsidRDefault="00EC482E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524897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Islamic Centre for Development of Trade (ICDT)</w:t>
      </w:r>
    </w:p>
    <w:p w14:paraId="775F876E" w14:textId="6F8DAD4D" w:rsidR="00566FAB" w:rsidRPr="003E7D04" w:rsidRDefault="007E2E18" w:rsidP="00290705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3E7D0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Mr. Rachid Azeroual</w:t>
      </w:r>
      <w:r w:rsidR="00290705" w:rsidRPr="003E7D0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, Head of Administrative and Financial Department</w:t>
      </w:r>
      <w:r w:rsidR="00566FAB" w:rsidRPr="003E7D04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ab/>
      </w:r>
    </w:p>
    <w:p w14:paraId="26DB6D2A" w14:textId="515AAE81" w:rsidR="00566FAB" w:rsidRPr="003E7D04" w:rsidRDefault="00214D83" w:rsidP="00083313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</w:pPr>
      <w:r w:rsidRPr="003E7D0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11 AV des FAR Tour des </w:t>
      </w:r>
      <w:proofErr w:type="spellStart"/>
      <w:r w:rsidRPr="003E7D0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>Habous</w:t>
      </w:r>
      <w:proofErr w:type="spellEnd"/>
      <w:r w:rsidRPr="003E7D04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Casablanca Principal 20000 Kingdom of Morocco </w:t>
      </w:r>
    </w:p>
    <w:p w14:paraId="1BE026CB" w14:textId="3722459A" w:rsidR="00566FAB" w:rsidRPr="00B67429" w:rsidRDefault="00566FAB" w:rsidP="0029070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</w:pPr>
      <w:r w:rsidRPr="00B6742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Tel:</w:t>
      </w:r>
      <w:r w:rsidRPr="00B67429">
        <w:rPr>
          <w:rFonts w:ascii="Times New Roman" w:eastAsia="Calibri" w:hAnsi="Times New Roman" w:cs="Times New Roman"/>
          <w:iCs/>
          <w:color w:val="000000" w:themeColor="text1"/>
          <w:spacing w:val="-2"/>
          <w:sz w:val="24"/>
          <w:szCs w:val="24"/>
        </w:rPr>
        <w:t xml:space="preserve"> </w:t>
      </w:r>
      <w:r w:rsidR="00691C68" w:rsidRPr="00B67429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+</w:t>
      </w:r>
      <w:r w:rsidR="003E7D04" w:rsidRPr="00B67429">
        <w:rPr>
          <w:rFonts w:ascii="Times New Roman" w:eastAsia="Calibri" w:hAnsi="Times New Roman" w:cs="Times New Roman"/>
          <w:i/>
          <w:color w:val="000000" w:themeColor="text1"/>
          <w:spacing w:val="-2"/>
          <w:sz w:val="24"/>
          <w:szCs w:val="24"/>
        </w:rPr>
        <w:t>212 522 31 49 74</w:t>
      </w:r>
    </w:p>
    <w:p w14:paraId="013CF911" w14:textId="705BF5A6" w:rsidR="00566FAB" w:rsidRPr="003E7D04" w:rsidRDefault="00566FAB" w:rsidP="0029070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</w:pPr>
      <w:proofErr w:type="gramStart"/>
      <w:r w:rsidRPr="00B6742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  <w:t>Fax:</w:t>
      </w:r>
      <w:proofErr w:type="gramEnd"/>
      <w:r w:rsidRPr="00B6742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  <w:t xml:space="preserve"> </w:t>
      </w:r>
      <w:r w:rsidR="00691C68" w:rsidRPr="00B67429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  <w:lang w:val="fr-FR"/>
        </w:rPr>
        <w:t>+</w:t>
      </w:r>
      <w:r w:rsidR="003E7D04" w:rsidRPr="00B67429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  <w:lang w:val="fr-FR"/>
        </w:rPr>
        <w:t>212 </w:t>
      </w:r>
      <w:proofErr w:type="gramStart"/>
      <w:r w:rsidR="003E7D04" w:rsidRPr="00B67429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  <w:lang w:val="fr-FR"/>
        </w:rPr>
        <w:t>522  31</w:t>
      </w:r>
      <w:proofErr w:type="gramEnd"/>
      <w:r w:rsidR="003E7D04" w:rsidRPr="00B67429">
        <w:rPr>
          <w:rFonts w:ascii="Times New Roman" w:eastAsia="Calibri" w:hAnsi="Times New Roman" w:cs="Times New Roman"/>
          <w:i/>
          <w:iCs/>
          <w:color w:val="000000" w:themeColor="text1"/>
          <w:spacing w:val="-2"/>
          <w:sz w:val="24"/>
          <w:szCs w:val="24"/>
          <w:lang w:val="fr-FR"/>
        </w:rPr>
        <w:t xml:space="preserve"> 01 10</w:t>
      </w:r>
    </w:p>
    <w:p w14:paraId="1B2BA0F3" w14:textId="75DB0FBC" w:rsidR="00566FAB" w:rsidRPr="00B67429" w:rsidRDefault="00566FAB" w:rsidP="0029070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</w:pPr>
      <w:proofErr w:type="gramStart"/>
      <w:r w:rsidRPr="00B6742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  <w:t>E-mail:</w:t>
      </w:r>
      <w:proofErr w:type="gramEnd"/>
      <w:r w:rsidRPr="00B67429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val="fr-FR"/>
        </w:rPr>
        <w:t xml:space="preserve"> </w:t>
      </w:r>
      <w:hyperlink r:id="rId8" w:history="1">
        <w:r w:rsidR="003E7D04" w:rsidRPr="00B67429">
          <w:rPr>
            <w:rStyle w:val="Hyperlink"/>
            <w:rFonts w:ascii="Times New Roman" w:eastAsia="Calibri" w:hAnsi="Times New Roman" w:cs="Times New Roman"/>
            <w:i/>
            <w:iCs/>
            <w:spacing w:val="-2"/>
            <w:sz w:val="24"/>
            <w:szCs w:val="24"/>
            <w:lang w:val="fr-FR"/>
          </w:rPr>
          <w:t>r.azaroual@icdt-oic</w:t>
        </w:r>
        <w:r w:rsidR="003E7D04" w:rsidRPr="00B67429">
          <w:rPr>
            <w:rStyle w:val="Hyperlink"/>
            <w:sz w:val="24"/>
            <w:szCs w:val="24"/>
            <w:lang w:val="fr-FR"/>
          </w:rPr>
          <w:t>.org</w:t>
        </w:r>
      </w:hyperlink>
      <w:r w:rsidR="003E7D04" w:rsidRPr="00B67429">
        <w:rPr>
          <w:sz w:val="24"/>
          <w:szCs w:val="24"/>
          <w:lang w:val="fr-FR"/>
        </w:rPr>
        <w:t xml:space="preserve"> </w:t>
      </w:r>
    </w:p>
    <w:p w14:paraId="73CA3E5A" w14:textId="78920377" w:rsidR="00566FAB" w:rsidRPr="00B67429" w:rsidRDefault="007E2E18" w:rsidP="00290705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B6742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Web site: </w:t>
      </w:r>
      <w:hyperlink r:id="rId9" w:history="1">
        <w:r w:rsidR="00083313" w:rsidRPr="00B67429">
          <w:rPr>
            <w:rStyle w:val="Hyperlink"/>
            <w:rFonts w:ascii="Times New Roman" w:eastAsia="Times New Roman" w:hAnsi="Times New Roman" w:cs="Times New Roman"/>
            <w:i/>
            <w:iCs/>
            <w:spacing w:val="-2"/>
            <w:sz w:val="24"/>
            <w:szCs w:val="24"/>
          </w:rPr>
          <w:t>https://icdt-cidc.org/</w:t>
        </w:r>
      </w:hyperlink>
    </w:p>
    <w:p w14:paraId="236ABB11" w14:textId="77777777" w:rsidR="00083313" w:rsidRDefault="00083313" w:rsidP="00290705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</w:p>
    <w:p w14:paraId="4C163036" w14:textId="77777777" w:rsidR="00083313" w:rsidRPr="00524897" w:rsidRDefault="00083313" w:rsidP="00290705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30C6F141" w14:textId="77777777" w:rsidR="00566FAB" w:rsidRPr="00524897" w:rsidRDefault="00566FAB" w:rsidP="00566FAB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566FAB" w:rsidRPr="0052489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B935" w14:textId="77777777" w:rsidR="00963117" w:rsidRDefault="00963117" w:rsidP="00610EC0">
      <w:pPr>
        <w:spacing w:after="0" w:line="240" w:lineRule="auto"/>
      </w:pPr>
      <w:r>
        <w:separator/>
      </w:r>
    </w:p>
  </w:endnote>
  <w:endnote w:type="continuationSeparator" w:id="0">
    <w:p w14:paraId="078798E5" w14:textId="77777777" w:rsidR="00963117" w:rsidRDefault="00963117" w:rsidP="0061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090587"/>
      <w:docPartObj>
        <w:docPartGallery w:val="Page Numbers (Bottom of Page)"/>
        <w:docPartUnique/>
      </w:docPartObj>
    </w:sdtPr>
    <w:sdtContent>
      <w:p w14:paraId="5FD2DC35" w14:textId="422D3693" w:rsidR="00491E01" w:rsidRDefault="00491E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7978E97" w14:textId="77777777" w:rsidR="00491E01" w:rsidRDefault="00491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D807" w14:textId="77777777" w:rsidR="00963117" w:rsidRDefault="00963117" w:rsidP="00610EC0">
      <w:pPr>
        <w:spacing w:after="0" w:line="240" w:lineRule="auto"/>
      </w:pPr>
      <w:r>
        <w:separator/>
      </w:r>
    </w:p>
  </w:footnote>
  <w:footnote w:type="continuationSeparator" w:id="0">
    <w:p w14:paraId="696D8B69" w14:textId="77777777" w:rsidR="00963117" w:rsidRDefault="00963117" w:rsidP="0061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B835" w14:textId="09D0FAB9" w:rsidR="00610EC0" w:rsidRDefault="00610EC0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F3278" wp14:editId="63A651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39162113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81C1D" w14:textId="271B832A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F3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B81C1D" w14:textId="271B832A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DB71" w14:textId="5D8E3761" w:rsidR="00610EC0" w:rsidRDefault="00610EC0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EF6293" wp14:editId="476D910A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67687031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87E29" w14:textId="009F852B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F6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BB87E29" w14:textId="009F852B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5B8D" w14:textId="2B2ED044" w:rsidR="00610EC0" w:rsidRDefault="00610EC0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F897EC" wp14:editId="00E713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54453167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6E138" w14:textId="755AF556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89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5E6E138" w14:textId="755AF556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F1D"/>
    <w:multiLevelType w:val="multilevel"/>
    <w:tmpl w:val="08700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F5FDC"/>
    <w:multiLevelType w:val="multilevel"/>
    <w:tmpl w:val="8ED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C13"/>
    <w:multiLevelType w:val="multilevel"/>
    <w:tmpl w:val="2BEC6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B6CA9"/>
    <w:multiLevelType w:val="multilevel"/>
    <w:tmpl w:val="DE54D5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C768D"/>
    <w:multiLevelType w:val="multilevel"/>
    <w:tmpl w:val="88D4B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EE3EA9"/>
    <w:multiLevelType w:val="hybridMultilevel"/>
    <w:tmpl w:val="BFB03B20"/>
    <w:lvl w:ilvl="0" w:tplc="8D2A3124">
      <w:start w:val="1"/>
      <w:numFmt w:val="lowerRoman"/>
      <w:lvlText w:val="(%1)"/>
      <w:lvlJc w:val="left"/>
      <w:pPr>
        <w:ind w:left="144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C3745"/>
    <w:multiLevelType w:val="hybridMultilevel"/>
    <w:tmpl w:val="2368C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5818BA"/>
    <w:multiLevelType w:val="multilevel"/>
    <w:tmpl w:val="79DC7E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902671895">
    <w:abstractNumId w:val="2"/>
  </w:num>
  <w:num w:numId="2" w16cid:durableId="861165067">
    <w:abstractNumId w:val="6"/>
  </w:num>
  <w:num w:numId="3" w16cid:durableId="1310404532">
    <w:abstractNumId w:val="0"/>
  </w:num>
  <w:num w:numId="4" w16cid:durableId="1909609863">
    <w:abstractNumId w:val="5"/>
  </w:num>
  <w:num w:numId="5" w16cid:durableId="158155567">
    <w:abstractNumId w:val="3"/>
  </w:num>
  <w:num w:numId="6" w16cid:durableId="1364671862">
    <w:abstractNumId w:val="8"/>
  </w:num>
  <w:num w:numId="7" w16cid:durableId="98304081">
    <w:abstractNumId w:val="4"/>
  </w:num>
  <w:num w:numId="8" w16cid:durableId="678041820">
    <w:abstractNumId w:val="1"/>
  </w:num>
  <w:num w:numId="9" w16cid:durableId="1402171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2164D"/>
    <w:rsid w:val="00041D31"/>
    <w:rsid w:val="00083313"/>
    <w:rsid w:val="000A6EEF"/>
    <w:rsid w:val="000C0185"/>
    <w:rsid w:val="000D382B"/>
    <w:rsid w:val="000F49EC"/>
    <w:rsid w:val="00187481"/>
    <w:rsid w:val="00192FB3"/>
    <w:rsid w:val="001A064F"/>
    <w:rsid w:val="001C1C62"/>
    <w:rsid w:val="001E39E5"/>
    <w:rsid w:val="00202CD4"/>
    <w:rsid w:val="00214D83"/>
    <w:rsid w:val="002323E1"/>
    <w:rsid w:val="00234B32"/>
    <w:rsid w:val="00236989"/>
    <w:rsid w:val="0025477F"/>
    <w:rsid w:val="00272574"/>
    <w:rsid w:val="00290705"/>
    <w:rsid w:val="00292EFB"/>
    <w:rsid w:val="002B6197"/>
    <w:rsid w:val="0036622B"/>
    <w:rsid w:val="00373133"/>
    <w:rsid w:val="00385F93"/>
    <w:rsid w:val="003E6146"/>
    <w:rsid w:val="003E7D04"/>
    <w:rsid w:val="00491E01"/>
    <w:rsid w:val="004B5FAF"/>
    <w:rsid w:val="00513F5A"/>
    <w:rsid w:val="00524897"/>
    <w:rsid w:val="005321F9"/>
    <w:rsid w:val="00566FAB"/>
    <w:rsid w:val="00576861"/>
    <w:rsid w:val="005E21C5"/>
    <w:rsid w:val="00610EC0"/>
    <w:rsid w:val="00635EEC"/>
    <w:rsid w:val="0067782B"/>
    <w:rsid w:val="00691C68"/>
    <w:rsid w:val="006B2A4D"/>
    <w:rsid w:val="006E0483"/>
    <w:rsid w:val="00721C6F"/>
    <w:rsid w:val="00731662"/>
    <w:rsid w:val="0076218B"/>
    <w:rsid w:val="00777564"/>
    <w:rsid w:val="007800A4"/>
    <w:rsid w:val="007E2E18"/>
    <w:rsid w:val="007E74D9"/>
    <w:rsid w:val="008B7CEC"/>
    <w:rsid w:val="008C3B9F"/>
    <w:rsid w:val="008E7C45"/>
    <w:rsid w:val="00942213"/>
    <w:rsid w:val="00963117"/>
    <w:rsid w:val="009F4F12"/>
    <w:rsid w:val="00A27D5A"/>
    <w:rsid w:val="00A37021"/>
    <w:rsid w:val="00A73055"/>
    <w:rsid w:val="00A74FEB"/>
    <w:rsid w:val="00A82520"/>
    <w:rsid w:val="00A8270C"/>
    <w:rsid w:val="00A92EB5"/>
    <w:rsid w:val="00AA026D"/>
    <w:rsid w:val="00AA3801"/>
    <w:rsid w:val="00AD3A53"/>
    <w:rsid w:val="00B357D1"/>
    <w:rsid w:val="00B654AA"/>
    <w:rsid w:val="00B67429"/>
    <w:rsid w:val="00BA1554"/>
    <w:rsid w:val="00BA7A4A"/>
    <w:rsid w:val="00BB3C16"/>
    <w:rsid w:val="00BB7148"/>
    <w:rsid w:val="00BE43E8"/>
    <w:rsid w:val="00C63EFC"/>
    <w:rsid w:val="00C7573C"/>
    <w:rsid w:val="00CA090D"/>
    <w:rsid w:val="00D126A0"/>
    <w:rsid w:val="00D408B3"/>
    <w:rsid w:val="00D6104A"/>
    <w:rsid w:val="00D93D1F"/>
    <w:rsid w:val="00DA5A54"/>
    <w:rsid w:val="00DB1199"/>
    <w:rsid w:val="00DC4A0C"/>
    <w:rsid w:val="00DF2B27"/>
    <w:rsid w:val="00E04228"/>
    <w:rsid w:val="00E54789"/>
    <w:rsid w:val="00E57581"/>
    <w:rsid w:val="00E65A9D"/>
    <w:rsid w:val="00E86C16"/>
    <w:rsid w:val="00EA537C"/>
    <w:rsid w:val="00EC482E"/>
    <w:rsid w:val="00F0092B"/>
    <w:rsid w:val="00F009A3"/>
    <w:rsid w:val="00F0526F"/>
    <w:rsid w:val="00F139BC"/>
    <w:rsid w:val="00F271B4"/>
    <w:rsid w:val="00F33B5C"/>
    <w:rsid w:val="00F51A14"/>
    <w:rsid w:val="00F70151"/>
    <w:rsid w:val="00F87016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56749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_Paragraph Char,Multilevel para_II Char,ADB Normal Char,ADB paragraph numbering Char,List Paragraph1 Char,List Paragraph11 Char"/>
    <w:basedOn w:val="DefaultParagraphFont"/>
    <w:link w:val="ListParagraph"/>
    <w:uiPriority w:val="1"/>
    <w:locked/>
    <w:rsid w:val="00610EC0"/>
  </w:style>
  <w:style w:type="paragraph" w:styleId="ListParagraph">
    <w:name w:val="List Paragraph"/>
    <w:aliases w:val="Citation List,본문(내용),List Paragraph (numbered (a)),Colorful List - Accent 11,List_Paragraph,Multilevel para_II,ADB Normal,ADB paragraph numbering,List Paragraph1,List Paragraph11,ADB List Paragraph,7 List Paragraph,6 List Paragraph"/>
    <w:basedOn w:val="Normal"/>
    <w:link w:val="ListParagraphChar"/>
    <w:uiPriority w:val="1"/>
    <w:qFormat/>
    <w:rsid w:val="00610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C0"/>
  </w:style>
  <w:style w:type="character" w:styleId="Hyperlink">
    <w:name w:val="Hyperlink"/>
    <w:basedOn w:val="DefaultParagraphFont"/>
    <w:uiPriority w:val="99"/>
    <w:unhideWhenUsed/>
    <w:rsid w:val="00AA026D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9070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4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13"/>
  </w:style>
  <w:style w:type="character" w:styleId="UnresolvedMention">
    <w:name w:val="Unresolved Mention"/>
    <w:basedOn w:val="DefaultParagraphFont"/>
    <w:uiPriority w:val="99"/>
    <w:semiHidden/>
    <w:unhideWhenUsed/>
    <w:rsid w:val="003E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azaroual@icdt-oi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dt-cid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Tahseen Ali</cp:lastModifiedBy>
  <cp:revision>3</cp:revision>
  <cp:lastPrinted>2019-03-25T05:15:00Z</cp:lastPrinted>
  <dcterms:created xsi:type="dcterms:W3CDTF">2025-06-11T06:12:00Z</dcterms:created>
  <dcterms:modified xsi:type="dcterms:W3CDTF">2025-06-16T11:16:00Z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2677648764903bc59663c412f74dc4a8a9bc9cbc7d1abfda30d33a7fa0b08c70</vt:lpwstr>
  </property>
  <property fmtid="{D5CDD505-2E9C-101B-9397-08002B2CF9AE}" pid="3" name="ClassificationContentMarkingHeaderShapeIds">
    <vt:lpwstr>5c0faedf,52f27412,63f302a8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2024-05-01T06:50:57Z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f4773eb7-73ee-4cb4-bb5d-63d6a953b111</vt:lpwstr>
  </property>
  <property fmtid="{D5CDD505-2E9C-101B-9397-08002B2CF9AE}" pid="12" name="MSIP_Label_9ef4adf7-25a7-4f52-a61a-df7190f1d881_ContentBits">
    <vt:lpwstr>1</vt:lpwstr>
  </property>
</Properties>
</file>