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F374F" w14:textId="77777777" w:rsidR="005130C3" w:rsidRDefault="005130C3">
      <w:pPr>
        <w:pStyle w:val="Heading1a"/>
        <w:keepNext w:val="0"/>
        <w:keepLines w:val="0"/>
        <w:tabs>
          <w:tab w:val="clear" w:pos="-720"/>
        </w:tabs>
        <w:suppressAutoHyphens w:val="0"/>
        <w:rPr>
          <w:bCs/>
          <w:smallCaps w:val="0"/>
        </w:rPr>
      </w:pPr>
      <w:r>
        <w:rPr>
          <w:bCs/>
          <w:smallCaps w:val="0"/>
        </w:rPr>
        <w:t>GENERAL PROCUREMENT NOTICE</w:t>
      </w:r>
    </w:p>
    <w:p w14:paraId="08B9D640" w14:textId="77777777" w:rsidR="005130C3" w:rsidRDefault="005130C3">
      <w:pPr>
        <w:suppressAutoHyphens/>
        <w:rPr>
          <w:rFonts w:ascii="Times New Roman" w:hAnsi="Times New Roman"/>
          <w:spacing w:val="-2"/>
        </w:rPr>
      </w:pPr>
    </w:p>
    <w:p w14:paraId="63A5B8DF" w14:textId="77777777" w:rsidR="00044EC8" w:rsidRPr="00044EC8" w:rsidRDefault="00044EC8" w:rsidP="00044EC8">
      <w:pPr>
        <w:rPr>
          <w:rFonts w:asciiTheme="majorBidi" w:hAnsiTheme="majorBidi" w:cstheme="majorBidi"/>
          <w:sz w:val="24"/>
          <w:szCs w:val="24"/>
          <w:lang w:val="en-GB"/>
        </w:rPr>
      </w:pPr>
      <w:r w:rsidRPr="00044EC8">
        <w:rPr>
          <w:rFonts w:asciiTheme="majorBidi" w:hAnsiTheme="majorBidi" w:cstheme="majorBidi"/>
          <w:b/>
          <w:bCs/>
          <w:sz w:val="24"/>
          <w:szCs w:val="24"/>
          <w:lang w:val="en-GB"/>
        </w:rPr>
        <w:t>Country: </w:t>
      </w:r>
      <w:r w:rsidRPr="00044EC8">
        <w:rPr>
          <w:rFonts w:asciiTheme="majorBidi" w:hAnsiTheme="majorBidi" w:cstheme="majorBidi"/>
          <w:sz w:val="24"/>
          <w:szCs w:val="24"/>
          <w:lang w:val="en-GB"/>
        </w:rPr>
        <w:t>BOSNIA AND HERZEGOVINA</w:t>
      </w:r>
    </w:p>
    <w:p w14:paraId="67B22EE8" w14:textId="77777777" w:rsidR="00044EC8" w:rsidRPr="00044EC8" w:rsidRDefault="00044EC8" w:rsidP="00044EC8">
      <w:pPr>
        <w:rPr>
          <w:rFonts w:asciiTheme="majorBidi" w:hAnsiTheme="majorBidi" w:cstheme="majorBidi"/>
          <w:sz w:val="24"/>
          <w:szCs w:val="24"/>
          <w:lang w:val="en-GB"/>
        </w:rPr>
      </w:pPr>
      <w:r w:rsidRPr="00044EC8">
        <w:rPr>
          <w:rFonts w:asciiTheme="majorBidi" w:hAnsiTheme="majorBidi" w:cstheme="majorBidi"/>
          <w:b/>
          <w:bCs/>
          <w:sz w:val="24"/>
          <w:szCs w:val="24"/>
          <w:lang w:val="en-GB"/>
        </w:rPr>
        <w:t>Project Name:</w:t>
      </w:r>
      <w:r w:rsidRPr="00044EC8">
        <w:rPr>
          <w:rFonts w:asciiTheme="majorBidi" w:hAnsiTheme="majorBidi" w:cstheme="majorBidi"/>
          <w:sz w:val="24"/>
          <w:szCs w:val="24"/>
          <w:lang w:val="en-GB"/>
        </w:rPr>
        <w:t> ISLAMIC FINANCE GRANT TO WAQF DIRECTORATE BOSNIA FOR FEASIBILITY STUDIES</w:t>
      </w:r>
    </w:p>
    <w:p w14:paraId="39BE69B3" w14:textId="77777777" w:rsidR="00044EC8" w:rsidRPr="00044EC8" w:rsidRDefault="00044EC8" w:rsidP="00044EC8">
      <w:pPr>
        <w:rPr>
          <w:rFonts w:asciiTheme="majorBidi" w:hAnsiTheme="majorBidi" w:cstheme="majorBidi"/>
          <w:sz w:val="24"/>
          <w:szCs w:val="24"/>
          <w:lang w:val="en-GB"/>
        </w:rPr>
      </w:pPr>
      <w:r w:rsidRPr="00044EC8">
        <w:rPr>
          <w:rFonts w:asciiTheme="majorBidi" w:hAnsiTheme="majorBidi" w:cstheme="majorBidi"/>
          <w:b/>
          <w:bCs/>
          <w:sz w:val="24"/>
          <w:szCs w:val="24"/>
          <w:lang w:val="en-GB"/>
        </w:rPr>
        <w:t>Sector:</w:t>
      </w:r>
      <w:r w:rsidRPr="00044EC8">
        <w:rPr>
          <w:rFonts w:asciiTheme="majorBidi" w:hAnsiTheme="majorBidi" w:cstheme="majorBidi"/>
          <w:sz w:val="24"/>
          <w:szCs w:val="24"/>
          <w:lang w:val="en-GB"/>
        </w:rPr>
        <w:t> ISLAMIC SOCIAL FINANCE</w:t>
      </w:r>
    </w:p>
    <w:p w14:paraId="58E9D5B0" w14:textId="77777777" w:rsidR="00044EC8" w:rsidRPr="00044EC8" w:rsidRDefault="00044EC8" w:rsidP="00044EC8">
      <w:pPr>
        <w:rPr>
          <w:rFonts w:asciiTheme="majorBidi" w:hAnsiTheme="majorBidi" w:cstheme="majorBidi"/>
          <w:sz w:val="24"/>
          <w:szCs w:val="24"/>
          <w:lang w:val="en-GB"/>
        </w:rPr>
      </w:pPr>
      <w:r w:rsidRPr="00044EC8">
        <w:rPr>
          <w:rFonts w:asciiTheme="majorBidi" w:hAnsiTheme="majorBidi" w:cstheme="majorBidi"/>
          <w:b/>
          <w:bCs/>
          <w:sz w:val="24"/>
          <w:szCs w:val="24"/>
          <w:lang w:val="en-GB"/>
        </w:rPr>
        <w:t>Mode of Financing:</w:t>
      </w:r>
      <w:r w:rsidRPr="00044EC8">
        <w:rPr>
          <w:rFonts w:asciiTheme="majorBidi" w:hAnsiTheme="majorBidi" w:cstheme="majorBidi"/>
          <w:sz w:val="24"/>
          <w:szCs w:val="24"/>
          <w:lang w:val="en-GB"/>
        </w:rPr>
        <w:t> ISLAMIC FINANCE GRANT</w:t>
      </w:r>
    </w:p>
    <w:p w14:paraId="5B62EC40" w14:textId="782CC271" w:rsidR="005130C3" w:rsidRPr="00FF65D2" w:rsidRDefault="00044EC8" w:rsidP="00FF65D2">
      <w:pPr>
        <w:rPr>
          <w:rFonts w:asciiTheme="majorBidi" w:hAnsiTheme="majorBidi" w:cstheme="majorBidi"/>
          <w:sz w:val="24"/>
          <w:szCs w:val="24"/>
          <w:lang w:val="en-GB"/>
        </w:rPr>
      </w:pPr>
      <w:r w:rsidRPr="00044EC8">
        <w:rPr>
          <w:rFonts w:asciiTheme="majorBidi" w:hAnsiTheme="majorBidi" w:cstheme="majorBidi"/>
          <w:b/>
          <w:bCs/>
          <w:sz w:val="24"/>
          <w:szCs w:val="24"/>
          <w:lang w:val="en-GB"/>
        </w:rPr>
        <w:t>Financing No:</w:t>
      </w:r>
      <w:r w:rsidRPr="00044EC8">
        <w:rPr>
          <w:rFonts w:asciiTheme="majorBidi" w:hAnsiTheme="majorBidi" w:cstheme="majorBidi"/>
          <w:sz w:val="24"/>
          <w:szCs w:val="24"/>
          <w:lang w:val="en-GB"/>
        </w:rPr>
        <w:t>  BIH1012</w:t>
      </w:r>
    </w:p>
    <w:p w14:paraId="6C345A67" w14:textId="77777777" w:rsidR="001B15ED" w:rsidRDefault="005130C3" w:rsidP="001B15ED">
      <w:pPr>
        <w:suppressAutoHyphens/>
        <w:spacing w:before="120" w:after="120"/>
        <w:jc w:val="both"/>
        <w:rPr>
          <w:rFonts w:ascii="Times New Roman" w:hAnsi="Times New Roman"/>
          <w:spacing w:val="-2"/>
          <w:sz w:val="24"/>
          <w:szCs w:val="24"/>
        </w:rPr>
      </w:pPr>
      <w:r w:rsidRPr="7257D6DB">
        <w:rPr>
          <w:rFonts w:ascii="Times New Roman" w:hAnsi="Times New Roman"/>
          <w:spacing w:val="-2"/>
          <w:sz w:val="24"/>
          <w:szCs w:val="24"/>
        </w:rPr>
        <w:t xml:space="preserve">The </w:t>
      </w:r>
      <w:r w:rsidR="001D5A25" w:rsidRPr="7257D6DB">
        <w:rPr>
          <w:rFonts w:ascii="Times New Roman" w:hAnsi="Times New Roman"/>
          <w:i/>
          <w:iCs/>
          <w:spacing w:val="-2"/>
          <w:sz w:val="24"/>
          <w:szCs w:val="24"/>
        </w:rPr>
        <w:t xml:space="preserve">Islamic Development Bank Institute </w:t>
      </w:r>
      <w:r w:rsidR="001D5A25" w:rsidRPr="7257D6DB">
        <w:rPr>
          <w:rFonts w:ascii="Times New Roman" w:hAnsi="Times New Roman"/>
          <w:spacing w:val="-2"/>
          <w:sz w:val="24"/>
          <w:szCs w:val="24"/>
        </w:rPr>
        <w:t xml:space="preserve">has approved grant </w:t>
      </w:r>
      <w:r w:rsidR="00216103" w:rsidRPr="00216103">
        <w:rPr>
          <w:rFonts w:ascii="Times New Roman" w:hAnsi="Times New Roman"/>
          <w:spacing w:val="-2"/>
          <w:sz w:val="24"/>
          <w:szCs w:val="24"/>
        </w:rPr>
        <w:t xml:space="preserve">USD </w:t>
      </w:r>
      <w:r w:rsidR="0013206D">
        <w:rPr>
          <w:rFonts w:ascii="Times New Roman" w:hAnsi="Times New Roman"/>
          <w:spacing w:val="-2"/>
          <w:sz w:val="24"/>
          <w:szCs w:val="24"/>
        </w:rPr>
        <w:t>2</w:t>
      </w:r>
      <w:r w:rsidR="004078C4">
        <w:rPr>
          <w:rFonts w:ascii="Times New Roman" w:hAnsi="Times New Roman"/>
          <w:spacing w:val="-2"/>
          <w:sz w:val="24"/>
          <w:szCs w:val="24"/>
        </w:rPr>
        <w:t>50</w:t>
      </w:r>
      <w:r w:rsidR="00E531CB" w:rsidRPr="00E531CB">
        <w:rPr>
          <w:rFonts w:ascii="Times New Roman" w:hAnsi="Times New Roman"/>
          <w:spacing w:val="-2"/>
          <w:sz w:val="24"/>
          <w:szCs w:val="24"/>
        </w:rPr>
        <w:t xml:space="preserve">,000 </w:t>
      </w:r>
      <w:r w:rsidR="00216103" w:rsidRPr="00216103">
        <w:rPr>
          <w:rFonts w:ascii="Times New Roman" w:hAnsi="Times New Roman"/>
          <w:spacing w:val="-2"/>
          <w:sz w:val="24"/>
          <w:szCs w:val="24"/>
        </w:rPr>
        <w:t xml:space="preserve">(United States Dollar </w:t>
      </w:r>
      <w:r w:rsidR="0013206D">
        <w:rPr>
          <w:rFonts w:ascii="Times New Roman" w:hAnsi="Times New Roman"/>
          <w:spacing w:val="-2"/>
          <w:sz w:val="24"/>
          <w:szCs w:val="24"/>
        </w:rPr>
        <w:t xml:space="preserve">Two </w:t>
      </w:r>
      <w:r w:rsidR="00216103" w:rsidRPr="00216103">
        <w:rPr>
          <w:rFonts w:ascii="Times New Roman" w:hAnsi="Times New Roman"/>
          <w:spacing w:val="-2"/>
          <w:sz w:val="24"/>
          <w:szCs w:val="24"/>
        </w:rPr>
        <w:t xml:space="preserve">Hundred </w:t>
      </w:r>
      <w:r w:rsidR="004078C4">
        <w:rPr>
          <w:rFonts w:ascii="Times New Roman" w:hAnsi="Times New Roman"/>
          <w:spacing w:val="-2"/>
          <w:sz w:val="24"/>
          <w:szCs w:val="24"/>
        </w:rPr>
        <w:t>Fifty</w:t>
      </w:r>
      <w:r w:rsidR="0013206D">
        <w:rPr>
          <w:rFonts w:ascii="Times New Roman" w:hAnsi="Times New Roman"/>
          <w:spacing w:val="-2"/>
          <w:sz w:val="24"/>
          <w:szCs w:val="24"/>
        </w:rPr>
        <w:t xml:space="preserve"> </w:t>
      </w:r>
      <w:r w:rsidR="00216103" w:rsidRPr="00216103">
        <w:rPr>
          <w:rFonts w:ascii="Times New Roman" w:hAnsi="Times New Roman"/>
          <w:spacing w:val="-2"/>
          <w:sz w:val="24"/>
          <w:szCs w:val="24"/>
        </w:rPr>
        <w:t xml:space="preserve">Thousand) </w:t>
      </w:r>
      <w:r w:rsidR="001D5A25" w:rsidRPr="7257D6DB">
        <w:rPr>
          <w:rFonts w:ascii="Times New Roman" w:hAnsi="Times New Roman"/>
          <w:spacing w:val="-2"/>
          <w:sz w:val="24"/>
          <w:szCs w:val="24"/>
        </w:rPr>
        <w:t>financing</w:t>
      </w:r>
      <w:r w:rsidRPr="7257D6DB">
        <w:rPr>
          <w:rFonts w:ascii="Times New Roman" w:hAnsi="Times New Roman"/>
          <w:spacing w:val="-2"/>
          <w:sz w:val="24"/>
          <w:szCs w:val="24"/>
        </w:rPr>
        <w:t xml:space="preserve"> </w:t>
      </w:r>
      <w:r w:rsidR="00E5160F" w:rsidRPr="00E5160F">
        <w:rPr>
          <w:rFonts w:ascii="Times New Roman" w:hAnsi="Times New Roman"/>
          <w:spacing w:val="-2"/>
          <w:sz w:val="24"/>
          <w:szCs w:val="24"/>
        </w:rPr>
        <w:t xml:space="preserve">to </w:t>
      </w:r>
      <w:r w:rsidR="00704CF8" w:rsidRPr="00704CF8">
        <w:rPr>
          <w:rFonts w:ascii="Times New Roman" w:hAnsi="Times New Roman"/>
          <w:spacing w:val="-2"/>
          <w:sz w:val="24"/>
          <w:szCs w:val="24"/>
        </w:rPr>
        <w:t>provide technical assistance (TA) toward the cost of the “Islamic Finance Grant to Waqf directorate Bosnia for feasibility studies”. It intends to apply part of the proceeds to payments for consulting services to be procured under this project. Waqf Directorate of Islamic Community of Bosnia and Herzegovina will jointly finance this Project.</w:t>
      </w:r>
      <w:r w:rsidRPr="7257D6DB">
        <w:rPr>
          <w:rFonts w:ascii="Times New Roman" w:hAnsi="Times New Roman"/>
          <w:spacing w:val="-2"/>
          <w:sz w:val="24"/>
          <w:szCs w:val="24"/>
        </w:rPr>
        <w:t xml:space="preserve"> </w:t>
      </w:r>
    </w:p>
    <w:p w14:paraId="641E6A1C" w14:textId="32727662" w:rsidR="00A6563A" w:rsidRPr="00914FD7" w:rsidRDefault="001B15ED" w:rsidP="001B15ED">
      <w:pPr>
        <w:suppressAutoHyphens/>
        <w:spacing w:before="120" w:after="120"/>
        <w:jc w:val="both"/>
        <w:rPr>
          <w:rFonts w:ascii="Times New Roman" w:hAnsi="Times New Roman"/>
          <w:spacing w:val="-2"/>
          <w:sz w:val="24"/>
          <w:szCs w:val="24"/>
        </w:rPr>
      </w:pPr>
      <w:r w:rsidRPr="001B15ED">
        <w:rPr>
          <w:rFonts w:ascii="Times New Roman" w:hAnsi="Times New Roman"/>
          <w:spacing w:val="-2"/>
          <w:sz w:val="24"/>
          <w:szCs w:val="24"/>
        </w:rPr>
        <w:t>The grant will empower the Islamic Community in Bosnia and Herzegovina (ICBH) by developing and implementing the Digital Hub, a robust and modern Waqf property management system. This initiative aims to replace outdated practices with a cutting-edge digital solution, thereby enhancing the efficiency, transparency, and accessibility of managing these vital cultural, historical, and religious assets. By creating a centralized digital system, the project will streamline the processes for tracking, analyzing, and managing Waqf properties, improving administrative efficiency and supporting more informed decision-making. A key component is a comprehensive database that includes spatial data, maps, and a user-friendly, web-based application, all designed to facilitate better understanding and oversight of each property. Ultimately, this project will contribute significantly to the preservation and effective utilization of Waqf properties for the benefit of the community and future generations.</w:t>
      </w:r>
    </w:p>
    <w:p w14:paraId="523626D4" w14:textId="506639CA" w:rsidR="001D5A25" w:rsidRPr="00C77F90" w:rsidRDefault="005130C3" w:rsidP="00C77F90">
      <w:pPr>
        <w:suppressAutoHyphens/>
        <w:jc w:val="both"/>
        <w:rPr>
          <w:rFonts w:ascii="Times New Roman" w:hAnsi="Times New Roman"/>
          <w:spacing w:val="-2"/>
          <w:sz w:val="24"/>
          <w:szCs w:val="24"/>
        </w:rPr>
      </w:pPr>
      <w:r w:rsidRPr="00914FD7">
        <w:rPr>
          <w:rFonts w:ascii="Times New Roman" w:hAnsi="Times New Roman"/>
          <w:spacing w:val="-2"/>
          <w:sz w:val="24"/>
          <w:szCs w:val="24"/>
        </w:rPr>
        <w:t xml:space="preserve">The </w:t>
      </w:r>
      <w:r w:rsidR="00F0555B" w:rsidRPr="00914FD7">
        <w:rPr>
          <w:rFonts w:ascii="Times New Roman" w:hAnsi="Times New Roman"/>
          <w:spacing w:val="-2"/>
          <w:sz w:val="24"/>
          <w:szCs w:val="24"/>
        </w:rPr>
        <w:t xml:space="preserve">project </w:t>
      </w:r>
      <w:r w:rsidR="00B57DAB" w:rsidRPr="00914FD7">
        <w:rPr>
          <w:rFonts w:ascii="Times New Roman" w:hAnsi="Times New Roman"/>
          <w:spacing w:val="-2"/>
          <w:sz w:val="24"/>
          <w:szCs w:val="24"/>
        </w:rPr>
        <w:t>will include the following components</w:t>
      </w:r>
      <w:r w:rsidR="001D5A25" w:rsidRPr="00914FD7">
        <w:rPr>
          <w:rFonts w:ascii="Times New Roman" w:hAnsi="Times New Roman"/>
          <w:spacing w:val="-2"/>
          <w:sz w:val="24"/>
          <w:szCs w:val="24"/>
        </w:rPr>
        <w:t>:</w:t>
      </w:r>
      <w:r w:rsidRPr="00914FD7">
        <w:rPr>
          <w:rFonts w:ascii="Times New Roman" w:hAnsi="Times New Roman"/>
          <w:spacing w:val="-2"/>
          <w:sz w:val="24"/>
          <w:szCs w:val="24"/>
        </w:rPr>
        <w:t xml:space="preserve"> </w:t>
      </w:r>
    </w:p>
    <w:p w14:paraId="17836190" w14:textId="77777777" w:rsidR="00DF64D6" w:rsidRPr="00DF64D6" w:rsidRDefault="00DF64D6" w:rsidP="00C77F90">
      <w:pPr>
        <w:pStyle w:val="ListParagraph"/>
        <w:numPr>
          <w:ilvl w:val="0"/>
          <w:numId w:val="26"/>
        </w:numPr>
        <w:suppressAutoHyphens/>
        <w:spacing w:before="120" w:after="0"/>
        <w:contextualSpacing w:val="0"/>
        <w:jc w:val="both"/>
        <w:rPr>
          <w:rFonts w:ascii="Times New Roman" w:hAnsi="Times New Roman"/>
          <w:spacing w:val="-2"/>
          <w:sz w:val="24"/>
          <w:szCs w:val="24"/>
        </w:rPr>
      </w:pPr>
      <w:r w:rsidRPr="00DF64D6">
        <w:rPr>
          <w:rFonts w:ascii="Times New Roman" w:hAnsi="Times New Roman"/>
          <w:spacing w:val="-2"/>
          <w:sz w:val="24"/>
          <w:szCs w:val="24"/>
        </w:rPr>
        <w:t xml:space="preserve">Development of Project Conceptual Design </w:t>
      </w:r>
    </w:p>
    <w:p w14:paraId="26429D37" w14:textId="77777777" w:rsidR="00DF64D6" w:rsidRPr="00DF64D6" w:rsidRDefault="00DF64D6" w:rsidP="00DF64D6">
      <w:pPr>
        <w:pStyle w:val="ListParagraph"/>
        <w:numPr>
          <w:ilvl w:val="0"/>
          <w:numId w:val="26"/>
        </w:numPr>
        <w:suppressAutoHyphens/>
        <w:jc w:val="both"/>
        <w:rPr>
          <w:rFonts w:ascii="Times New Roman" w:hAnsi="Times New Roman"/>
          <w:spacing w:val="-2"/>
          <w:sz w:val="24"/>
          <w:szCs w:val="24"/>
        </w:rPr>
      </w:pPr>
      <w:r w:rsidRPr="00DF64D6">
        <w:rPr>
          <w:rFonts w:ascii="Times New Roman" w:hAnsi="Times New Roman"/>
          <w:spacing w:val="-2"/>
          <w:sz w:val="24"/>
          <w:szCs w:val="24"/>
        </w:rPr>
        <w:t xml:space="preserve">Existing Condition Analysis </w:t>
      </w:r>
    </w:p>
    <w:p w14:paraId="649620E4" w14:textId="77777777" w:rsidR="00DF64D6" w:rsidRPr="00DF64D6" w:rsidRDefault="00DF64D6" w:rsidP="00DF64D6">
      <w:pPr>
        <w:pStyle w:val="ListParagraph"/>
        <w:numPr>
          <w:ilvl w:val="0"/>
          <w:numId w:val="26"/>
        </w:numPr>
        <w:suppressAutoHyphens/>
        <w:jc w:val="both"/>
        <w:rPr>
          <w:rFonts w:ascii="Times New Roman" w:hAnsi="Times New Roman"/>
          <w:spacing w:val="-2"/>
          <w:sz w:val="24"/>
          <w:szCs w:val="24"/>
        </w:rPr>
      </w:pPr>
      <w:r w:rsidRPr="00DF64D6">
        <w:rPr>
          <w:rFonts w:ascii="Times New Roman" w:hAnsi="Times New Roman"/>
          <w:spacing w:val="-2"/>
          <w:sz w:val="24"/>
          <w:szCs w:val="24"/>
        </w:rPr>
        <w:t xml:space="preserve">Database Establishment and Development of Applications for Public and Registered Users, Data Modelling </w:t>
      </w:r>
    </w:p>
    <w:p w14:paraId="6E78C9D4" w14:textId="77777777" w:rsidR="00DF64D6" w:rsidRPr="00DF64D6" w:rsidRDefault="00DF64D6" w:rsidP="00DF64D6">
      <w:pPr>
        <w:pStyle w:val="ListParagraph"/>
        <w:numPr>
          <w:ilvl w:val="0"/>
          <w:numId w:val="26"/>
        </w:numPr>
        <w:suppressAutoHyphens/>
        <w:jc w:val="both"/>
        <w:rPr>
          <w:rFonts w:ascii="Times New Roman" w:hAnsi="Times New Roman"/>
          <w:spacing w:val="-2"/>
          <w:sz w:val="24"/>
          <w:szCs w:val="24"/>
        </w:rPr>
      </w:pPr>
      <w:r w:rsidRPr="00DF64D6">
        <w:rPr>
          <w:rFonts w:ascii="Times New Roman" w:hAnsi="Times New Roman"/>
          <w:spacing w:val="-2"/>
          <w:sz w:val="24"/>
          <w:szCs w:val="24"/>
        </w:rPr>
        <w:t xml:space="preserve">Acquisition of Digital Copies of Survey Plans for the Work Area and Tuzla </w:t>
      </w:r>
      <w:proofErr w:type="spellStart"/>
      <w:r w:rsidRPr="00DF64D6">
        <w:rPr>
          <w:rFonts w:ascii="Times New Roman" w:hAnsi="Times New Roman"/>
          <w:spacing w:val="-2"/>
          <w:sz w:val="24"/>
          <w:szCs w:val="24"/>
        </w:rPr>
        <w:t>Muftiate</w:t>
      </w:r>
      <w:proofErr w:type="spellEnd"/>
      <w:r w:rsidRPr="00DF64D6">
        <w:rPr>
          <w:rFonts w:ascii="Times New Roman" w:hAnsi="Times New Roman"/>
          <w:spacing w:val="-2"/>
          <w:sz w:val="24"/>
          <w:szCs w:val="24"/>
        </w:rPr>
        <w:t xml:space="preserve"> </w:t>
      </w:r>
    </w:p>
    <w:p w14:paraId="2AE3C5A6" w14:textId="77777777" w:rsidR="00DF64D6" w:rsidRPr="00DF64D6" w:rsidRDefault="00DF64D6" w:rsidP="00DF64D6">
      <w:pPr>
        <w:pStyle w:val="ListParagraph"/>
        <w:numPr>
          <w:ilvl w:val="0"/>
          <w:numId w:val="26"/>
        </w:numPr>
        <w:suppressAutoHyphens/>
        <w:jc w:val="both"/>
        <w:rPr>
          <w:rFonts w:ascii="Times New Roman" w:hAnsi="Times New Roman"/>
          <w:spacing w:val="-2"/>
          <w:sz w:val="24"/>
          <w:szCs w:val="24"/>
        </w:rPr>
      </w:pPr>
      <w:r w:rsidRPr="00DF64D6">
        <w:rPr>
          <w:rFonts w:ascii="Times New Roman" w:hAnsi="Times New Roman"/>
          <w:spacing w:val="-2"/>
          <w:sz w:val="24"/>
          <w:szCs w:val="24"/>
        </w:rPr>
        <w:t xml:space="preserve">Field Data Collection for Each Parcel (by Organizational Units), Processing and Verification of Documentation, and Coordination with Up-To-Date Parcel Documentation in Cadastral Offices </w:t>
      </w:r>
    </w:p>
    <w:p w14:paraId="7F22400D" w14:textId="77777777" w:rsidR="00DF64D6" w:rsidRPr="00DF64D6" w:rsidRDefault="00DF64D6" w:rsidP="00DF64D6">
      <w:pPr>
        <w:pStyle w:val="ListParagraph"/>
        <w:numPr>
          <w:ilvl w:val="0"/>
          <w:numId w:val="26"/>
        </w:numPr>
        <w:suppressAutoHyphens/>
        <w:jc w:val="both"/>
        <w:rPr>
          <w:rFonts w:ascii="Times New Roman" w:hAnsi="Times New Roman"/>
          <w:spacing w:val="-2"/>
          <w:sz w:val="24"/>
          <w:szCs w:val="24"/>
        </w:rPr>
      </w:pPr>
      <w:r w:rsidRPr="00DF64D6">
        <w:rPr>
          <w:rFonts w:ascii="Times New Roman" w:hAnsi="Times New Roman"/>
          <w:spacing w:val="-2"/>
          <w:sz w:val="24"/>
          <w:szCs w:val="24"/>
        </w:rPr>
        <w:t xml:space="preserve">Parcel Marking, Parcel Description, Document Scanning, Data Processing &amp; Entry, Entry Verification, and Database Updating </w:t>
      </w:r>
    </w:p>
    <w:p w14:paraId="050AFBF4" w14:textId="54096CE0" w:rsidR="005130C3" w:rsidRPr="00B96F14" w:rsidRDefault="003B360E" w:rsidP="00C77F90">
      <w:pPr>
        <w:suppressAutoHyphens/>
        <w:spacing w:before="120" w:after="120"/>
        <w:jc w:val="both"/>
        <w:rPr>
          <w:rFonts w:ascii="Times New Roman" w:hAnsi="Times New Roman"/>
          <w:iCs/>
          <w:spacing w:val="-2"/>
          <w:sz w:val="24"/>
        </w:rPr>
      </w:pPr>
      <w:r w:rsidRPr="003B360E">
        <w:rPr>
          <w:rFonts w:ascii="Times New Roman" w:hAnsi="Times New Roman"/>
          <w:spacing w:val="-2"/>
          <w:sz w:val="24"/>
        </w:rPr>
        <w:t xml:space="preserve">Procurement of contracts financed by the Islamic Development Bank will be conducted through the procedures specified under the Guidelines for the Procurement of Consultant Services under Islamic Development Bank Project Financing (April 2019, </w:t>
      </w:r>
      <w:r w:rsidR="005E3E0B" w:rsidRPr="003B360E">
        <w:rPr>
          <w:rFonts w:ascii="Times New Roman" w:hAnsi="Times New Roman"/>
          <w:spacing w:val="-2"/>
          <w:sz w:val="24"/>
        </w:rPr>
        <w:t>revised</w:t>
      </w:r>
      <w:r w:rsidRPr="003B360E">
        <w:rPr>
          <w:rFonts w:ascii="Times New Roman" w:hAnsi="Times New Roman"/>
          <w:spacing w:val="-2"/>
          <w:sz w:val="24"/>
        </w:rPr>
        <w:t xml:space="preserve"> in February 2023) and is open to all eligible bidders as defined in the guidelines.</w:t>
      </w:r>
      <w:r w:rsidR="00DF62EB" w:rsidRPr="00B96F14">
        <w:rPr>
          <w:rFonts w:ascii="Times New Roman" w:hAnsi="Times New Roman"/>
          <w:spacing w:val="-2"/>
          <w:sz w:val="24"/>
        </w:rPr>
        <w:t xml:space="preserve"> </w:t>
      </w:r>
    </w:p>
    <w:p w14:paraId="2D9B0BC7" w14:textId="57A0D922" w:rsidR="00E574FD" w:rsidRPr="00CE06DB" w:rsidRDefault="00947C01" w:rsidP="00C77F90">
      <w:pPr>
        <w:spacing w:before="120" w:after="120"/>
        <w:ind w:right="200"/>
        <w:jc w:val="both"/>
        <w:rPr>
          <w:rFonts w:ascii="Times New Roman" w:hAnsi="Times New Roman"/>
          <w:b/>
          <w:bCs/>
          <w:spacing w:val="-2"/>
          <w:sz w:val="24"/>
        </w:rPr>
      </w:pPr>
      <w:r w:rsidRPr="00947C01">
        <w:rPr>
          <w:rFonts w:ascii="Times New Roman" w:hAnsi="Times New Roman"/>
          <w:b/>
          <w:bCs/>
          <w:spacing w:val="-2"/>
          <w:sz w:val="24"/>
        </w:rPr>
        <w:t>Requests for Expressions of Interest for consultancy services will be posted on the IsDB Website and DG Market as they become available.</w:t>
      </w:r>
      <w:r w:rsidR="005D5F34" w:rsidRPr="00CE06DB">
        <w:rPr>
          <w:rFonts w:ascii="Times New Roman" w:hAnsi="Times New Roman"/>
          <w:b/>
          <w:bCs/>
          <w:spacing w:val="-2"/>
          <w:sz w:val="24"/>
        </w:rPr>
        <w:t xml:space="preserve"> </w:t>
      </w:r>
    </w:p>
    <w:p w14:paraId="677A2D17" w14:textId="77777777" w:rsidR="005D2032" w:rsidRDefault="005D2032" w:rsidP="00C77F90">
      <w:pPr>
        <w:pStyle w:val="NormalWeb"/>
        <w:spacing w:before="120" w:beforeAutospacing="0" w:after="120" w:afterAutospacing="0"/>
      </w:pPr>
      <w:r>
        <w:t>Interested and eligible firms or individuals seeking consideration for these services, or those requiring additional information, should contact the Beneficiary at the address below:</w:t>
      </w:r>
    </w:p>
    <w:p w14:paraId="2D498EAD" w14:textId="77777777" w:rsidR="006D57D2" w:rsidRDefault="006D57D2" w:rsidP="006D57D2">
      <w:pPr>
        <w:rPr>
          <w:rFonts w:asciiTheme="majorBidi" w:hAnsiTheme="majorBidi" w:cstheme="majorBidi"/>
          <w:b/>
          <w:bCs/>
          <w:sz w:val="24"/>
          <w:szCs w:val="22"/>
          <w:lang w:val="en-GB"/>
        </w:rPr>
      </w:pPr>
    </w:p>
    <w:p w14:paraId="1292080F" w14:textId="4076EC07" w:rsidR="006D57D2" w:rsidRPr="006D57D2" w:rsidRDefault="006D57D2" w:rsidP="006D57D2">
      <w:pPr>
        <w:rPr>
          <w:rFonts w:asciiTheme="majorBidi" w:hAnsiTheme="majorBidi" w:cstheme="majorBidi"/>
          <w:b/>
          <w:bCs/>
          <w:sz w:val="24"/>
          <w:szCs w:val="22"/>
          <w:lang w:val="en-GB"/>
        </w:rPr>
      </w:pPr>
      <w:r w:rsidRPr="006D57D2">
        <w:rPr>
          <w:rFonts w:asciiTheme="majorBidi" w:hAnsiTheme="majorBidi" w:cstheme="majorBidi"/>
          <w:b/>
          <w:bCs/>
          <w:sz w:val="24"/>
          <w:szCs w:val="22"/>
          <w:lang w:val="en-GB"/>
        </w:rPr>
        <w:t xml:space="preserve">Islamic Community in Bosnia and Herzegovina - Waqf Directorate </w:t>
      </w:r>
    </w:p>
    <w:p w14:paraId="452BE82D" w14:textId="77777777" w:rsidR="006D57D2" w:rsidRPr="006D57D2" w:rsidRDefault="006D57D2" w:rsidP="006D57D2">
      <w:pPr>
        <w:rPr>
          <w:rFonts w:asciiTheme="majorBidi" w:hAnsiTheme="majorBidi" w:cstheme="majorBidi"/>
          <w:b/>
          <w:bCs/>
          <w:sz w:val="10"/>
          <w:szCs w:val="8"/>
          <w:lang w:val="en-GB"/>
        </w:rPr>
      </w:pPr>
    </w:p>
    <w:p w14:paraId="074BD084" w14:textId="476D3F8D" w:rsidR="006D57D2" w:rsidRPr="006D57D2" w:rsidRDefault="006D57D2" w:rsidP="006D57D2">
      <w:pPr>
        <w:rPr>
          <w:rFonts w:asciiTheme="majorBidi" w:hAnsiTheme="majorBidi" w:cstheme="majorBidi"/>
          <w:sz w:val="24"/>
          <w:szCs w:val="22"/>
          <w:lang w:val="en-GB"/>
        </w:rPr>
      </w:pPr>
      <w:r w:rsidRPr="006D57D2">
        <w:rPr>
          <w:rFonts w:asciiTheme="majorBidi" w:hAnsiTheme="majorBidi" w:cstheme="majorBidi"/>
          <w:b/>
          <w:bCs/>
          <w:sz w:val="24"/>
          <w:szCs w:val="22"/>
          <w:lang w:val="en-GB"/>
        </w:rPr>
        <w:t>Address:</w:t>
      </w:r>
      <w:r w:rsidRPr="006D57D2">
        <w:rPr>
          <w:rFonts w:asciiTheme="majorBidi" w:hAnsiTheme="majorBidi" w:cstheme="majorBidi"/>
          <w:sz w:val="24"/>
          <w:szCs w:val="22"/>
          <w:lang w:val="en-GB"/>
        </w:rPr>
        <w:t xml:space="preserve"> Hasiba </w:t>
      </w:r>
      <w:proofErr w:type="spellStart"/>
      <w:r w:rsidRPr="006D57D2">
        <w:rPr>
          <w:rFonts w:asciiTheme="majorBidi" w:hAnsiTheme="majorBidi" w:cstheme="majorBidi"/>
          <w:sz w:val="24"/>
          <w:szCs w:val="22"/>
          <w:lang w:val="en-GB"/>
        </w:rPr>
        <w:t>Brankovića</w:t>
      </w:r>
      <w:proofErr w:type="spellEnd"/>
      <w:r w:rsidRPr="006D57D2">
        <w:rPr>
          <w:rFonts w:asciiTheme="majorBidi" w:hAnsiTheme="majorBidi" w:cstheme="majorBidi"/>
          <w:sz w:val="24"/>
          <w:szCs w:val="22"/>
          <w:lang w:val="en-GB"/>
        </w:rPr>
        <w:t xml:space="preserve"> 2A, 71 000 Sarajevo, Bosna </w:t>
      </w:r>
      <w:proofErr w:type="spellStart"/>
      <w:r w:rsidRPr="006D57D2">
        <w:rPr>
          <w:rFonts w:asciiTheme="majorBidi" w:hAnsiTheme="majorBidi" w:cstheme="majorBidi"/>
          <w:sz w:val="24"/>
          <w:szCs w:val="22"/>
          <w:lang w:val="en-GB"/>
        </w:rPr>
        <w:t>i</w:t>
      </w:r>
      <w:proofErr w:type="spellEnd"/>
      <w:r w:rsidRPr="006D57D2">
        <w:rPr>
          <w:rFonts w:asciiTheme="majorBidi" w:hAnsiTheme="majorBidi" w:cstheme="majorBidi"/>
          <w:sz w:val="24"/>
          <w:szCs w:val="22"/>
          <w:lang w:val="en-GB"/>
        </w:rPr>
        <w:t xml:space="preserve"> Hercegovina</w:t>
      </w:r>
    </w:p>
    <w:p w14:paraId="028AF9C0" w14:textId="77777777" w:rsidR="006D57D2" w:rsidRPr="006D57D2" w:rsidRDefault="006D57D2" w:rsidP="006D57D2">
      <w:pPr>
        <w:rPr>
          <w:rFonts w:asciiTheme="majorBidi" w:hAnsiTheme="majorBidi" w:cstheme="majorBidi"/>
          <w:sz w:val="24"/>
          <w:szCs w:val="22"/>
          <w:lang w:val="en-GB"/>
        </w:rPr>
      </w:pPr>
      <w:r w:rsidRPr="006D57D2">
        <w:rPr>
          <w:rFonts w:asciiTheme="majorBidi" w:hAnsiTheme="majorBidi" w:cstheme="majorBidi"/>
          <w:b/>
          <w:bCs/>
          <w:sz w:val="24"/>
          <w:szCs w:val="22"/>
          <w:lang w:val="en-GB"/>
        </w:rPr>
        <w:t>Tel:</w:t>
      </w:r>
      <w:r w:rsidRPr="006D57D2">
        <w:rPr>
          <w:rFonts w:asciiTheme="majorBidi" w:hAnsiTheme="majorBidi" w:cstheme="majorBidi"/>
          <w:sz w:val="24"/>
          <w:szCs w:val="22"/>
          <w:lang w:val="en-GB"/>
        </w:rPr>
        <w:t xml:space="preserve">        +387 33 200 355 </w:t>
      </w:r>
      <w:r w:rsidRPr="006D57D2">
        <w:rPr>
          <w:rFonts w:asciiTheme="majorBidi" w:hAnsiTheme="majorBidi" w:cstheme="majorBidi"/>
          <w:sz w:val="24"/>
          <w:szCs w:val="22"/>
          <w:lang w:val="en-GB"/>
        </w:rPr>
        <w:tab/>
        <w:t>+387 33 206 037</w:t>
      </w:r>
    </w:p>
    <w:p w14:paraId="6777AD01" w14:textId="5825DC13" w:rsidR="00993D12" w:rsidRPr="006D57D2" w:rsidRDefault="006D57D2" w:rsidP="006D57D2">
      <w:pPr>
        <w:rPr>
          <w:rFonts w:asciiTheme="majorBidi" w:eastAsia="Calibri" w:hAnsiTheme="majorBidi" w:cstheme="majorBidi"/>
          <w:spacing w:val="-2"/>
          <w:sz w:val="28"/>
          <w:szCs w:val="24"/>
        </w:rPr>
      </w:pPr>
      <w:r w:rsidRPr="006D57D2">
        <w:rPr>
          <w:rFonts w:asciiTheme="majorBidi" w:hAnsiTheme="majorBidi" w:cstheme="majorBidi"/>
          <w:b/>
          <w:bCs/>
          <w:sz w:val="24"/>
          <w:szCs w:val="22"/>
          <w:lang w:val="en-GB"/>
        </w:rPr>
        <w:t>Email:</w:t>
      </w:r>
      <w:r w:rsidRPr="006D57D2">
        <w:rPr>
          <w:rFonts w:asciiTheme="majorBidi" w:hAnsiTheme="majorBidi" w:cstheme="majorBidi"/>
          <w:sz w:val="24"/>
          <w:szCs w:val="22"/>
          <w:lang w:val="en-GB"/>
        </w:rPr>
        <w:t xml:space="preserve">     </w:t>
      </w:r>
      <w:hyperlink r:id="rId8" w:history="1">
        <w:r w:rsidRPr="006D57D2">
          <w:rPr>
            <w:rStyle w:val="Hyperlink"/>
            <w:rFonts w:asciiTheme="majorBidi" w:hAnsiTheme="majorBidi" w:cstheme="majorBidi"/>
            <w:sz w:val="24"/>
            <w:szCs w:val="22"/>
            <w:lang w:val="en-GB"/>
          </w:rPr>
          <w:t>vakuf.bih@bih.net.ba</w:t>
        </w:r>
      </w:hyperlink>
    </w:p>
    <w:sectPr w:rsidR="00993D12" w:rsidRPr="006D57D2" w:rsidSect="006D57D2">
      <w:headerReference w:type="even" r:id="rId9"/>
      <w:endnotePr>
        <w:numFmt w:val="decimal"/>
      </w:endnotePr>
      <w:pgSz w:w="11907" w:h="16839" w:code="9"/>
      <w:pgMar w:top="450" w:right="1467" w:bottom="1260" w:left="1260" w:header="426"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C64AF" w14:textId="77777777" w:rsidR="00355457" w:rsidRDefault="00355457">
      <w:r>
        <w:separator/>
      </w:r>
    </w:p>
  </w:endnote>
  <w:endnote w:type="continuationSeparator" w:id="0">
    <w:p w14:paraId="2DDD937D" w14:textId="77777777" w:rsidR="00355457" w:rsidRDefault="00355457">
      <w:r>
        <w:rPr>
          <w:sz w:val="24"/>
        </w:rPr>
        <w:t xml:space="preserve"> </w:t>
      </w:r>
    </w:p>
  </w:endnote>
  <w:endnote w:type="continuationNotice" w:id="1">
    <w:p w14:paraId="6ACE1930" w14:textId="77777777" w:rsidR="00355457" w:rsidRDefault="0035545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91A85" w14:textId="77777777" w:rsidR="00355457" w:rsidRDefault="00355457">
      <w:r>
        <w:rPr>
          <w:sz w:val="24"/>
        </w:rPr>
        <w:separator/>
      </w:r>
    </w:p>
  </w:footnote>
  <w:footnote w:type="continuationSeparator" w:id="0">
    <w:p w14:paraId="6BAEDE10" w14:textId="77777777" w:rsidR="00355457" w:rsidRDefault="0035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12E54" w14:textId="07DAD703" w:rsidR="00BC7634" w:rsidRDefault="00BC7634">
    <w:pPr>
      <w:pStyle w:val="Header"/>
    </w:pPr>
    <w:r>
      <w:rPr>
        <w:noProof/>
      </w:rPr>
      <mc:AlternateContent>
        <mc:Choice Requires="wps">
          <w:drawing>
            <wp:anchor distT="0" distB="0" distL="114300" distR="114300" simplePos="0" relativeHeight="251660288" behindDoc="0" locked="0" layoutInCell="0" allowOverlap="1" wp14:anchorId="717744A3" wp14:editId="2E13B8FA">
              <wp:simplePos x="0" y="0"/>
              <wp:positionH relativeFrom="page">
                <wp:posOffset>0</wp:posOffset>
              </wp:positionH>
              <wp:positionV relativeFrom="page">
                <wp:posOffset>190500</wp:posOffset>
              </wp:positionV>
              <wp:extent cx="7560945" cy="273050"/>
              <wp:effectExtent l="0" t="0" r="0" b="12700"/>
              <wp:wrapNone/>
              <wp:docPr id="2" name="MSIPCM4ee3484dbc0faa3324c6fafa" descr="{&quot;HashCode&quot;:-1813103172,&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37EBC" w14:textId="49CCC560" w:rsidR="00BC7634" w:rsidRPr="00BC7634" w:rsidRDefault="00BC7634" w:rsidP="00BC7634">
                          <w:pPr>
                            <w:rPr>
                              <w:rFonts w:ascii="Calibri" w:hAnsi="Calibri" w:cs="Calibri"/>
                              <w:color w:val="000000"/>
                              <w:sz w:val="20"/>
                            </w:rPr>
                          </w:pPr>
                          <w:r w:rsidRPr="00BC7634">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17744A3" id="_x0000_t202" coordsize="21600,21600" o:spt="202" path="m,l,21600r21600,l21600,xe">
              <v:stroke joinstyle="miter"/>
              <v:path gradientshapeok="t" o:connecttype="rect"/>
            </v:shapetype>
            <v:shape id="MSIPCM4ee3484dbc0faa3324c6fafa" o:spid="_x0000_s1026" type="#_x0000_t202" alt="{&quot;HashCode&quot;:-1813103172,&quot;Height&quot;:841.0,&quot;Width&quot;:595.0,&quot;Placement&quot;:&quot;Header&quot;,&quot;Index&quot;:&quot;OddAndEven&quot;,&quot;Section&quot;:1,&quot;Top&quot;:0.0,&quot;Left&quot;:0.0}" style="position:absolute;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Er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" o:allowincell="f" filled="f" stroked="f" strokeweight=".5pt">
              <v:textbox inset="20pt,0,,0">
                <w:txbxContent>
                  <w:p w14:paraId="47237EBC" w14:textId="49CCC560" w:rsidR="00BC7634" w:rsidRPr="00BC7634" w:rsidRDefault="00BC7634" w:rsidP="00BC7634">
                    <w:pPr>
                      <w:rPr>
                        <w:rFonts w:ascii="Calibri" w:hAnsi="Calibri" w:cs="Calibri"/>
                        <w:color w:val="000000"/>
                        <w:sz w:val="20"/>
                      </w:rPr>
                    </w:pPr>
                    <w:r w:rsidRPr="00BC7634">
                      <w:rPr>
                        <w:rFonts w:ascii="Calibri" w:hAnsi="Calibri" w:cs="Calibri"/>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01D8A9E"/>
    <w:multiLevelType w:val="hybridMultilevel"/>
    <w:tmpl w:val="FFFFFFFF"/>
    <w:lvl w:ilvl="0" w:tplc="FFFFFFFF">
      <w:start w:val="1"/>
      <w:numFmt w:val="ideographDigital"/>
      <w:lvlText w:val=""/>
      <w:lvlJc w:val="left"/>
    </w:lvl>
    <w:lvl w:ilvl="1" w:tplc="F467F39B">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C43B0"/>
    <w:multiLevelType w:val="hybridMultilevel"/>
    <w:tmpl w:val="CF08217A"/>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510707E"/>
    <w:multiLevelType w:val="hybridMultilevel"/>
    <w:tmpl w:val="BDD4F6F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15:restartNumberingAfterBreak="0">
    <w:nsid w:val="072D0A14"/>
    <w:multiLevelType w:val="hybridMultilevel"/>
    <w:tmpl w:val="C2B40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719A8"/>
    <w:multiLevelType w:val="hybridMultilevel"/>
    <w:tmpl w:val="DBBC44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FA068E1"/>
    <w:multiLevelType w:val="hybridMultilevel"/>
    <w:tmpl w:val="9580B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C347C"/>
    <w:multiLevelType w:val="hybridMultilevel"/>
    <w:tmpl w:val="62D86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54125"/>
    <w:multiLevelType w:val="hybridMultilevel"/>
    <w:tmpl w:val="EF56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44DC1"/>
    <w:multiLevelType w:val="hybridMultilevel"/>
    <w:tmpl w:val="6F08181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8E4147"/>
    <w:multiLevelType w:val="hybridMultilevel"/>
    <w:tmpl w:val="13BC90C0"/>
    <w:lvl w:ilvl="0" w:tplc="837CB63C">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8A6EA1"/>
    <w:multiLevelType w:val="hybridMultilevel"/>
    <w:tmpl w:val="D4928FB8"/>
    <w:lvl w:ilvl="0" w:tplc="5DA63C80">
      <w:numFmt w:val="bullet"/>
      <w:lvlText w:val="‑"/>
      <w:lvlJc w:val="left"/>
      <w:pPr>
        <w:ind w:left="1800" w:hanging="360"/>
      </w:pPr>
      <w:rPr>
        <w:rFonts w:ascii="Yu Gothic UI Semilight" w:eastAsia="Yu Gothic UI Semilight" w:hAnsi="Yu Gothic UI Semilight" w:hint="eastAsi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D717FD"/>
    <w:multiLevelType w:val="hybridMultilevel"/>
    <w:tmpl w:val="16540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D0582D"/>
    <w:multiLevelType w:val="hybridMultilevel"/>
    <w:tmpl w:val="FC3C4E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67B2C51"/>
    <w:multiLevelType w:val="hybridMultilevel"/>
    <w:tmpl w:val="FFFFFFFF"/>
    <w:lvl w:ilvl="0" w:tplc="FFFFFFFF">
      <w:start w:val="1"/>
      <w:numFmt w:val="ideographDigital"/>
      <w:lvlText w:val=""/>
      <w:lvlJc w:val="left"/>
    </w:lvl>
    <w:lvl w:ilvl="1" w:tplc="E9ADD4C3">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6CE1B12"/>
    <w:multiLevelType w:val="hybridMultilevel"/>
    <w:tmpl w:val="4C26A9B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4B5503"/>
    <w:multiLevelType w:val="hybridMultilevel"/>
    <w:tmpl w:val="4B6E4AE8"/>
    <w:lvl w:ilvl="0" w:tplc="637296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97AD8"/>
    <w:multiLevelType w:val="hybridMultilevel"/>
    <w:tmpl w:val="ED58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22354"/>
    <w:multiLevelType w:val="hybridMultilevel"/>
    <w:tmpl w:val="052A5BC2"/>
    <w:lvl w:ilvl="0" w:tplc="0A20AEB6">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100A5"/>
    <w:multiLevelType w:val="hybridMultilevel"/>
    <w:tmpl w:val="E7BEF076"/>
    <w:lvl w:ilvl="0" w:tplc="5DA63C80">
      <w:numFmt w:val="bullet"/>
      <w:lvlText w:val="‑"/>
      <w:lvlJc w:val="left"/>
      <w:pPr>
        <w:ind w:left="1800" w:hanging="360"/>
      </w:pPr>
      <w:rPr>
        <w:rFonts w:ascii="Yu Gothic UI Semilight" w:eastAsia="Yu Gothic UI Semilight" w:hAnsi="Yu Gothic UI Semilight" w:hint="eastAsi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5FB53D8"/>
    <w:multiLevelType w:val="hybridMultilevel"/>
    <w:tmpl w:val="B6B4C1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A02549F"/>
    <w:multiLevelType w:val="hybridMultilevel"/>
    <w:tmpl w:val="472CBB3E"/>
    <w:lvl w:ilvl="0" w:tplc="E658589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56919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D8E0527"/>
    <w:multiLevelType w:val="hybridMultilevel"/>
    <w:tmpl w:val="A10C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4D1A3D"/>
    <w:multiLevelType w:val="hybridMultilevel"/>
    <w:tmpl w:val="B0424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6C1A70"/>
    <w:multiLevelType w:val="hybridMultilevel"/>
    <w:tmpl w:val="383A6E80"/>
    <w:lvl w:ilvl="0" w:tplc="91A25D5E">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319149">
    <w:abstractNumId w:val="11"/>
  </w:num>
  <w:num w:numId="2" w16cid:durableId="793406557">
    <w:abstractNumId w:val="15"/>
  </w:num>
  <w:num w:numId="3" w16cid:durableId="55981859">
    <w:abstractNumId w:val="9"/>
  </w:num>
  <w:num w:numId="4" w16cid:durableId="1549754977">
    <w:abstractNumId w:val="19"/>
  </w:num>
  <w:num w:numId="5" w16cid:durableId="529493172">
    <w:abstractNumId w:val="10"/>
  </w:num>
  <w:num w:numId="6" w16cid:durableId="1665014975">
    <w:abstractNumId w:val="1"/>
  </w:num>
  <w:num w:numId="7" w16cid:durableId="1569682505">
    <w:abstractNumId w:val="4"/>
  </w:num>
  <w:num w:numId="8" w16cid:durableId="1203244881">
    <w:abstractNumId w:val="12"/>
  </w:num>
  <w:num w:numId="9" w16cid:durableId="141893788">
    <w:abstractNumId w:val="6"/>
  </w:num>
  <w:num w:numId="10" w16cid:durableId="814949958">
    <w:abstractNumId w:val="23"/>
  </w:num>
  <w:num w:numId="11" w16cid:durableId="2137789615">
    <w:abstractNumId w:val="16"/>
  </w:num>
  <w:num w:numId="12" w16cid:durableId="417486243">
    <w:abstractNumId w:val="21"/>
  </w:num>
  <w:num w:numId="13" w16cid:durableId="1363285810">
    <w:abstractNumId w:val="5"/>
  </w:num>
  <w:num w:numId="14" w16cid:durableId="337773538">
    <w:abstractNumId w:val="8"/>
  </w:num>
  <w:num w:numId="15" w16cid:durableId="1030297400">
    <w:abstractNumId w:val="24"/>
  </w:num>
  <w:num w:numId="16" w16cid:durableId="910624933">
    <w:abstractNumId w:val="20"/>
  </w:num>
  <w:num w:numId="17" w16cid:durableId="1267616660">
    <w:abstractNumId w:val="13"/>
  </w:num>
  <w:num w:numId="18" w16cid:durableId="270204954">
    <w:abstractNumId w:val="3"/>
  </w:num>
  <w:num w:numId="19" w16cid:durableId="2137678250">
    <w:abstractNumId w:val="18"/>
  </w:num>
  <w:num w:numId="20" w16cid:durableId="354427469">
    <w:abstractNumId w:val="0"/>
  </w:num>
  <w:num w:numId="21" w16cid:durableId="1953899250">
    <w:abstractNumId w:val="25"/>
  </w:num>
  <w:num w:numId="22" w16cid:durableId="596641499">
    <w:abstractNumId w:val="7"/>
  </w:num>
  <w:num w:numId="23" w16cid:durableId="1785031394">
    <w:abstractNumId w:val="22"/>
  </w:num>
  <w:num w:numId="24" w16cid:durableId="2146464894">
    <w:abstractNumId w:val="14"/>
  </w:num>
  <w:num w:numId="25" w16cid:durableId="1349478173">
    <w:abstractNumId w:val="2"/>
  </w:num>
  <w:num w:numId="26" w16cid:durableId="14769931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rawingGridHorizontalSpacing w:val="110"/>
  <w:displayHorizontalDrawingGridEvery w:val="0"/>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WxMDEwNjc0sTQ2NTRS0lEKTi0uzszPAykwrAUAW23AKiwAAAA="/>
  </w:docVars>
  <w:rsids>
    <w:rsidRoot w:val="005130C3"/>
    <w:rsid w:val="00010CC7"/>
    <w:rsid w:val="0001394F"/>
    <w:rsid w:val="0002016D"/>
    <w:rsid w:val="00037F1C"/>
    <w:rsid w:val="00044EC8"/>
    <w:rsid w:val="000672E7"/>
    <w:rsid w:val="00073C60"/>
    <w:rsid w:val="00075437"/>
    <w:rsid w:val="0008270C"/>
    <w:rsid w:val="0008329E"/>
    <w:rsid w:val="0008577E"/>
    <w:rsid w:val="00087A5D"/>
    <w:rsid w:val="0009213A"/>
    <w:rsid w:val="000B3C65"/>
    <w:rsid w:val="000D0B4C"/>
    <w:rsid w:val="000F4D9A"/>
    <w:rsid w:val="0010171D"/>
    <w:rsid w:val="0013206D"/>
    <w:rsid w:val="00154662"/>
    <w:rsid w:val="00170CC1"/>
    <w:rsid w:val="001744B5"/>
    <w:rsid w:val="00190C88"/>
    <w:rsid w:val="001942C9"/>
    <w:rsid w:val="001B15ED"/>
    <w:rsid w:val="001B38AC"/>
    <w:rsid w:val="001B53B8"/>
    <w:rsid w:val="001D5A25"/>
    <w:rsid w:val="001F4D12"/>
    <w:rsid w:val="001F65C4"/>
    <w:rsid w:val="00216103"/>
    <w:rsid w:val="00233A25"/>
    <w:rsid w:val="002378BD"/>
    <w:rsid w:val="00240380"/>
    <w:rsid w:val="002C5423"/>
    <w:rsid w:val="002E0F29"/>
    <w:rsid w:val="00313A6E"/>
    <w:rsid w:val="00322FC3"/>
    <w:rsid w:val="0033717F"/>
    <w:rsid w:val="00343FB8"/>
    <w:rsid w:val="00345D46"/>
    <w:rsid w:val="00347B31"/>
    <w:rsid w:val="00355457"/>
    <w:rsid w:val="003818BD"/>
    <w:rsid w:val="003A3B2B"/>
    <w:rsid w:val="003B360E"/>
    <w:rsid w:val="003E42BF"/>
    <w:rsid w:val="003F5CF1"/>
    <w:rsid w:val="004078C4"/>
    <w:rsid w:val="00410A67"/>
    <w:rsid w:val="00411482"/>
    <w:rsid w:val="00440F14"/>
    <w:rsid w:val="00446758"/>
    <w:rsid w:val="00456400"/>
    <w:rsid w:val="00457B5D"/>
    <w:rsid w:val="00472074"/>
    <w:rsid w:val="004A5F59"/>
    <w:rsid w:val="004B5098"/>
    <w:rsid w:val="004C417A"/>
    <w:rsid w:val="004F2409"/>
    <w:rsid w:val="004F6CA8"/>
    <w:rsid w:val="005130C3"/>
    <w:rsid w:val="00514999"/>
    <w:rsid w:val="00515A19"/>
    <w:rsid w:val="0055476E"/>
    <w:rsid w:val="00557532"/>
    <w:rsid w:val="00565A9F"/>
    <w:rsid w:val="0058450F"/>
    <w:rsid w:val="00591E90"/>
    <w:rsid w:val="00594D25"/>
    <w:rsid w:val="00596C54"/>
    <w:rsid w:val="005C4E63"/>
    <w:rsid w:val="005C7504"/>
    <w:rsid w:val="005D1F6B"/>
    <w:rsid w:val="005D2032"/>
    <w:rsid w:val="005D5F34"/>
    <w:rsid w:val="005E0060"/>
    <w:rsid w:val="005E3E0B"/>
    <w:rsid w:val="005F40FB"/>
    <w:rsid w:val="0060370A"/>
    <w:rsid w:val="00603DF3"/>
    <w:rsid w:val="00606DA8"/>
    <w:rsid w:val="00623851"/>
    <w:rsid w:val="00626210"/>
    <w:rsid w:val="00633BF6"/>
    <w:rsid w:val="006402EA"/>
    <w:rsid w:val="00645A79"/>
    <w:rsid w:val="0065085F"/>
    <w:rsid w:val="00677A84"/>
    <w:rsid w:val="00693295"/>
    <w:rsid w:val="0069701F"/>
    <w:rsid w:val="006C61FF"/>
    <w:rsid w:val="006C780E"/>
    <w:rsid w:val="006D1046"/>
    <w:rsid w:val="006D57D2"/>
    <w:rsid w:val="006E45CD"/>
    <w:rsid w:val="006E6B8C"/>
    <w:rsid w:val="006F77EA"/>
    <w:rsid w:val="00704CF8"/>
    <w:rsid w:val="0071170D"/>
    <w:rsid w:val="007279C8"/>
    <w:rsid w:val="007360B0"/>
    <w:rsid w:val="00737AC3"/>
    <w:rsid w:val="00752F0A"/>
    <w:rsid w:val="00772158"/>
    <w:rsid w:val="007757C0"/>
    <w:rsid w:val="00784716"/>
    <w:rsid w:val="00790458"/>
    <w:rsid w:val="007A56B0"/>
    <w:rsid w:val="007B2DE3"/>
    <w:rsid w:val="007B7103"/>
    <w:rsid w:val="007B7260"/>
    <w:rsid w:val="007C347A"/>
    <w:rsid w:val="007D23F5"/>
    <w:rsid w:val="007F2386"/>
    <w:rsid w:val="00811900"/>
    <w:rsid w:val="0081297F"/>
    <w:rsid w:val="008268E8"/>
    <w:rsid w:val="00837EB4"/>
    <w:rsid w:val="00846B37"/>
    <w:rsid w:val="008C6246"/>
    <w:rsid w:val="008E0D64"/>
    <w:rsid w:val="008E47FB"/>
    <w:rsid w:val="008F7EA6"/>
    <w:rsid w:val="00901160"/>
    <w:rsid w:val="009063C5"/>
    <w:rsid w:val="00914FD7"/>
    <w:rsid w:val="00920788"/>
    <w:rsid w:val="00924F5F"/>
    <w:rsid w:val="00944DFB"/>
    <w:rsid w:val="009462BF"/>
    <w:rsid w:val="00947C01"/>
    <w:rsid w:val="009810B5"/>
    <w:rsid w:val="00984F94"/>
    <w:rsid w:val="009865B1"/>
    <w:rsid w:val="00990DAA"/>
    <w:rsid w:val="00993D12"/>
    <w:rsid w:val="00996FE5"/>
    <w:rsid w:val="009B43B4"/>
    <w:rsid w:val="009D3B89"/>
    <w:rsid w:val="009E4E88"/>
    <w:rsid w:val="009E7C2D"/>
    <w:rsid w:val="009F23EC"/>
    <w:rsid w:val="009F73C4"/>
    <w:rsid w:val="00A018BE"/>
    <w:rsid w:val="00A07D64"/>
    <w:rsid w:val="00A2771A"/>
    <w:rsid w:val="00A35CA3"/>
    <w:rsid w:val="00A37740"/>
    <w:rsid w:val="00A54B9D"/>
    <w:rsid w:val="00A6563A"/>
    <w:rsid w:val="00A903DD"/>
    <w:rsid w:val="00A92C92"/>
    <w:rsid w:val="00A93FAE"/>
    <w:rsid w:val="00A94FE4"/>
    <w:rsid w:val="00AB6B93"/>
    <w:rsid w:val="00AC3470"/>
    <w:rsid w:val="00AC6856"/>
    <w:rsid w:val="00AD6056"/>
    <w:rsid w:val="00B058DD"/>
    <w:rsid w:val="00B37961"/>
    <w:rsid w:val="00B575C1"/>
    <w:rsid w:val="00B57DAB"/>
    <w:rsid w:val="00B96F14"/>
    <w:rsid w:val="00BC50C6"/>
    <w:rsid w:val="00BC7634"/>
    <w:rsid w:val="00BD33E3"/>
    <w:rsid w:val="00BE58D4"/>
    <w:rsid w:val="00BF37E5"/>
    <w:rsid w:val="00C12FE6"/>
    <w:rsid w:val="00C76660"/>
    <w:rsid w:val="00C77F90"/>
    <w:rsid w:val="00C87D46"/>
    <w:rsid w:val="00CC78F9"/>
    <w:rsid w:val="00CE06DB"/>
    <w:rsid w:val="00CF1A04"/>
    <w:rsid w:val="00D04375"/>
    <w:rsid w:val="00D3162E"/>
    <w:rsid w:val="00D40631"/>
    <w:rsid w:val="00D52227"/>
    <w:rsid w:val="00D628D6"/>
    <w:rsid w:val="00D7277A"/>
    <w:rsid w:val="00D879CE"/>
    <w:rsid w:val="00D9176D"/>
    <w:rsid w:val="00D95C2C"/>
    <w:rsid w:val="00D96FC4"/>
    <w:rsid w:val="00DA036C"/>
    <w:rsid w:val="00DB4804"/>
    <w:rsid w:val="00DB5377"/>
    <w:rsid w:val="00DB62EA"/>
    <w:rsid w:val="00DB68FA"/>
    <w:rsid w:val="00DB78F4"/>
    <w:rsid w:val="00DE017B"/>
    <w:rsid w:val="00DF62EB"/>
    <w:rsid w:val="00DF64D6"/>
    <w:rsid w:val="00E03FA9"/>
    <w:rsid w:val="00E1795B"/>
    <w:rsid w:val="00E327FB"/>
    <w:rsid w:val="00E5160F"/>
    <w:rsid w:val="00E531CB"/>
    <w:rsid w:val="00E5358B"/>
    <w:rsid w:val="00E55D5C"/>
    <w:rsid w:val="00E574FD"/>
    <w:rsid w:val="00E612DE"/>
    <w:rsid w:val="00E6438E"/>
    <w:rsid w:val="00E706F3"/>
    <w:rsid w:val="00E7375D"/>
    <w:rsid w:val="00E95D93"/>
    <w:rsid w:val="00EA3994"/>
    <w:rsid w:val="00EA5CB0"/>
    <w:rsid w:val="00EB4709"/>
    <w:rsid w:val="00EC4BD3"/>
    <w:rsid w:val="00EC7758"/>
    <w:rsid w:val="00EF369A"/>
    <w:rsid w:val="00F0555B"/>
    <w:rsid w:val="00F26132"/>
    <w:rsid w:val="00F50C13"/>
    <w:rsid w:val="00F5133B"/>
    <w:rsid w:val="00F57864"/>
    <w:rsid w:val="00F646EA"/>
    <w:rsid w:val="00F822DF"/>
    <w:rsid w:val="00F83572"/>
    <w:rsid w:val="00FC249B"/>
    <w:rsid w:val="00FC6C8B"/>
    <w:rsid w:val="00FE439A"/>
    <w:rsid w:val="00FE71AA"/>
    <w:rsid w:val="00FF65D2"/>
    <w:rsid w:val="7257D6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48545"/>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2"/>
    </w:rPr>
  </w:style>
  <w:style w:type="paragraph" w:styleId="Heading1">
    <w:name w:val="heading 1"/>
    <w:basedOn w:val="Normal"/>
    <w:next w:val="Normal"/>
    <w:qFormat/>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pPr>
      <w:keepNext/>
      <w:keepLines/>
      <w:tabs>
        <w:tab w:val="left" w:pos="-720"/>
      </w:tabs>
      <w:suppressAutoHyphens/>
      <w:jc w:val="center"/>
      <w:outlineLvl w:val="1"/>
    </w:pPr>
    <w:rPr>
      <w:b/>
      <w:smallCaps/>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b/>
      <w:i/>
    </w:r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paragraph" w:styleId="Heading9">
    <w:name w:val="heading 9"/>
    <w:basedOn w:val="Normal"/>
    <w:next w:val="Normal"/>
    <w:qFormat/>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customStyle="1" w:styleId="ChapterNumber">
    <w:name w:val="ChapterNumber"/>
    <w:pPr>
      <w:tabs>
        <w:tab w:val="left" w:pos="-720"/>
      </w:tabs>
      <w:suppressAutoHyphens/>
    </w:pPr>
    <w:rPr>
      <w:rFonts w:ascii="CG Times" w:hAnsi="CG Times"/>
      <w:sz w:val="22"/>
    </w:rPr>
  </w:style>
  <w:style w:type="paragraph" w:styleId="Footer">
    <w:name w:val="footer"/>
    <w:basedOn w:val="Normal"/>
    <w:pPr>
      <w:tabs>
        <w:tab w:val="left" w:pos="360"/>
        <w:tab w:val="right" w:pos="9000"/>
      </w:tabs>
      <w:suppressAutoHyphens/>
    </w:pPr>
  </w:style>
  <w:style w:type="character" w:styleId="FootnoteReference">
    <w:name w:val="footnote reference"/>
    <w:semiHidden/>
    <w:rPr>
      <w:rFonts w:ascii="CG Times" w:hAnsi="CG Times"/>
      <w:noProof w:val="0"/>
      <w:sz w:val="22"/>
      <w:vertAlign w:val="superscript"/>
      <w:lang w:val="en-US"/>
    </w:rPr>
  </w:style>
  <w:style w:type="paragraph" w:styleId="FootnoteText">
    <w:name w:val="footnote text"/>
    <w:basedOn w:val="Normal"/>
    <w:semiHidden/>
    <w:pPr>
      <w:tabs>
        <w:tab w:val="left" w:pos="-720"/>
      </w:tabs>
      <w:suppressAutoHyphens/>
    </w:pPr>
    <w:rPr>
      <w:rFonts w:ascii="Times New Roman" w:hAnsi="Times New Roman"/>
      <w:sz w:val="20"/>
    </w:rPr>
  </w:style>
  <w:style w:type="paragraph" w:styleId="Header">
    <w:name w:val="header"/>
    <w:basedOn w:val="Normal"/>
    <w:pPr>
      <w:tabs>
        <w:tab w:val="left" w:pos="360"/>
        <w:tab w:val="left" w:pos="7560"/>
        <w:tab w:val="left" w:pos="8280"/>
        <w:tab w:val="left" w:pos="9000"/>
      </w:tabs>
      <w:suppressAutoHyphens/>
    </w:pPr>
  </w:style>
  <w:style w:type="paragraph" w:styleId="NormalIndent">
    <w:name w:val="Normal Indent"/>
    <w:basedOn w:val="Normal"/>
    <w:pPr>
      <w:tabs>
        <w:tab w:val="left" w:pos="-720"/>
      </w:tabs>
      <w:suppressAutoHyphens/>
    </w:pPr>
  </w:style>
  <w:style w:type="paragraph" w:customStyle="1" w:styleId="TextBox">
    <w:name w:val="Text Box"/>
    <w:pPr>
      <w:keepNext/>
      <w:keepLines/>
      <w:tabs>
        <w:tab w:val="left" w:pos="-720"/>
      </w:tabs>
      <w:suppressAutoHyphens/>
      <w:jc w:val="both"/>
    </w:pPr>
    <w:rPr>
      <w:spacing w:val="-2"/>
      <w:sz w:val="22"/>
    </w:rPr>
  </w:style>
  <w:style w:type="paragraph" w:customStyle="1" w:styleId="TextBoxdots">
    <w:name w:val="Text Box (dots)"/>
    <w:pPr>
      <w:keepNext/>
      <w:keepLines/>
      <w:tabs>
        <w:tab w:val="left" w:pos="-720"/>
      </w:tabs>
      <w:suppressAutoHyphens/>
      <w:jc w:val="both"/>
    </w:pPr>
    <w:rPr>
      <w:spacing w:val="-2"/>
      <w:sz w:val="22"/>
    </w:rPr>
  </w:style>
  <w:style w:type="paragraph" w:customStyle="1" w:styleId="TextBoxFramed">
    <w:name w:val="Text Box Framed"/>
    <w:pPr>
      <w:keepNext/>
      <w:keepLines/>
      <w:tabs>
        <w:tab w:val="left" w:pos="-720"/>
      </w:tabs>
      <w:suppressAutoHyphens/>
    </w:pPr>
    <w:rPr>
      <w:sz w:val="22"/>
    </w:rPr>
  </w:style>
  <w:style w:type="paragraph" w:customStyle="1" w:styleId="TextBoxUnframed">
    <w:name w:val="Text Box Unframed"/>
    <w:pPr>
      <w:keepNext/>
      <w:keepLines/>
      <w:tabs>
        <w:tab w:val="left" w:pos="-720"/>
      </w:tabs>
      <w:suppressAutoHyphens/>
    </w:pPr>
    <w:rPr>
      <w:sz w:val="22"/>
    </w:rPr>
  </w:style>
  <w:style w:type="paragraph" w:customStyle="1" w:styleId="TOC11">
    <w:name w:val="TOC 11"/>
    <w:pPr>
      <w:tabs>
        <w:tab w:val="left" w:pos="360"/>
      </w:tabs>
      <w:suppressAutoHyphens/>
    </w:pPr>
    <w:rPr>
      <w:rFonts w:ascii="CG Times" w:hAnsi="CG Times"/>
      <w:smallCaps/>
      <w:sz w:val="22"/>
    </w:r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customStyle="1" w:styleId="BankNormal">
    <w:name w:val="BankNormal"/>
    <w:pPr>
      <w:tabs>
        <w:tab w:val="left" w:pos="-720"/>
      </w:tabs>
      <w:suppressAutoHyphens/>
    </w:pPr>
    <w:rPr>
      <w:rFonts w:ascii="CG Times" w:hAnsi="CG Times"/>
      <w:sz w:val="22"/>
    </w:rPr>
  </w:style>
  <w:style w:type="paragraph" w:customStyle="1" w:styleId="Heading1a">
    <w:name w:val="Heading 1a"/>
    <w:pPr>
      <w:keepNext/>
      <w:keepLines/>
      <w:tabs>
        <w:tab w:val="left" w:pos="-720"/>
      </w:tabs>
      <w:suppressAutoHyphens/>
      <w:jc w:val="center"/>
    </w:pPr>
    <w:rPr>
      <w:b/>
      <w:smallCaps/>
      <w:sz w:val="32"/>
    </w:r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EndnoteText">
    <w:name w:val="endnote text"/>
    <w:basedOn w:val="Normal"/>
    <w:semiHidden/>
    <w:pPr>
      <w:tabs>
        <w:tab w:val="left" w:pos="-720"/>
      </w:tabs>
      <w:suppressAutoHyphens/>
    </w:pPr>
    <w:rPr>
      <w:rFonts w:ascii="Times New Roman" w:hAnsi="Times New Roman"/>
      <w:sz w:val="20"/>
    </w:rPr>
  </w:style>
  <w:style w:type="character" w:styleId="EndnoteReference">
    <w:name w:val="endnote reference"/>
    <w:semiHidden/>
    <w:rPr>
      <w:rFonts w:ascii="CG Times" w:hAnsi="CG Times"/>
      <w:noProof w:val="0"/>
      <w:sz w:val="22"/>
      <w:vertAlign w:val="superscript"/>
      <w:lang w:val="en-US"/>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suppressAutoHyphens/>
    </w:pPr>
    <w:rPr>
      <w:spacing w:val="-2"/>
      <w:sz w:val="24"/>
    </w:rPr>
  </w:style>
  <w:style w:type="character" w:styleId="Hyperlink">
    <w:name w:val="Hyperlink"/>
    <w:rPr>
      <w:color w:val="0000FF"/>
      <w:u w:val="single"/>
    </w:rPr>
  </w:style>
  <w:style w:type="paragraph" w:styleId="BalloonText">
    <w:name w:val="Balloon Text"/>
    <w:basedOn w:val="Normal"/>
    <w:semiHidden/>
    <w:rsid w:val="005130C3"/>
    <w:rPr>
      <w:rFonts w:ascii="Tahoma" w:hAnsi="Tahoma" w:cs="Tahoma"/>
      <w:sz w:val="16"/>
      <w:szCs w:val="16"/>
    </w:rPr>
  </w:style>
  <w:style w:type="character" w:customStyle="1" w:styleId="BodyTextChar">
    <w:name w:val="Body Text Char"/>
    <w:link w:val="BodyText"/>
    <w:rsid w:val="005F40FB"/>
    <w:rPr>
      <w:rFonts w:ascii="CG Times" w:hAnsi="CG Times"/>
      <w:spacing w:val="-2"/>
      <w:sz w:val="24"/>
    </w:rPr>
  </w:style>
  <w:style w:type="paragraph" w:styleId="ListParagraph">
    <w:name w:val="List Paragraph"/>
    <w:aliases w:val="Citation List,본문(내용),List Paragraph (numbered (a)),List Paragraph2,Text,References,سرد الفقرات,Bullets,Liste 1,Numbered List Paragraph,ReferencesCxSpLast,Medium Grid 1 - Accent 21,List Paragraph nowy,Paragraphe  revu,Paragraphe de liste1"/>
    <w:basedOn w:val="Normal"/>
    <w:link w:val="ListParagraphChar"/>
    <w:uiPriority w:val="34"/>
    <w:qFormat/>
    <w:rsid w:val="009865B1"/>
    <w:pPr>
      <w:spacing w:after="120" w:line="264" w:lineRule="auto"/>
      <w:ind w:left="720"/>
      <w:contextualSpacing/>
    </w:pPr>
    <w:rPr>
      <w:rFonts w:asciiTheme="minorHAnsi" w:eastAsiaTheme="minorEastAsia" w:hAnsiTheme="minorHAnsi" w:cstheme="minorBidi"/>
      <w:sz w:val="20"/>
      <w:lang w:val="en-GB"/>
    </w:rPr>
  </w:style>
  <w:style w:type="character" w:customStyle="1" w:styleId="ListParagraphChar">
    <w:name w:val="List Paragraph Char"/>
    <w:aliases w:val="Citation List Char,본문(내용) Char,List Paragraph (numbered (a)) Char,List Paragraph2 Char,Text Char,References Char,سرد الفقرات Char,Bullets Char,Liste 1 Char,Numbered List Paragraph Char,ReferencesCxSpLast Char,List Paragraph nowy Char"/>
    <w:basedOn w:val="DefaultParagraphFont"/>
    <w:link w:val="ListParagraph"/>
    <w:uiPriority w:val="34"/>
    <w:qFormat/>
    <w:rsid w:val="009865B1"/>
    <w:rPr>
      <w:rFonts w:asciiTheme="minorHAnsi" w:eastAsiaTheme="minorEastAsia" w:hAnsiTheme="minorHAnsi" w:cstheme="minorBidi"/>
      <w:lang w:val="en-GB"/>
    </w:rPr>
  </w:style>
  <w:style w:type="character" w:styleId="UnresolvedMention">
    <w:name w:val="Unresolved Mention"/>
    <w:basedOn w:val="DefaultParagraphFont"/>
    <w:uiPriority w:val="99"/>
    <w:semiHidden/>
    <w:unhideWhenUsed/>
    <w:rsid w:val="00AD6056"/>
    <w:rPr>
      <w:color w:val="605E5C"/>
      <w:shd w:val="clear" w:color="auto" w:fill="E1DFDD"/>
    </w:rPr>
  </w:style>
  <w:style w:type="character" w:styleId="CommentReference">
    <w:name w:val="annotation reference"/>
    <w:basedOn w:val="DefaultParagraphFont"/>
    <w:semiHidden/>
    <w:unhideWhenUsed/>
    <w:rsid w:val="00F26132"/>
    <w:rPr>
      <w:sz w:val="16"/>
      <w:szCs w:val="16"/>
    </w:rPr>
  </w:style>
  <w:style w:type="paragraph" w:styleId="CommentText">
    <w:name w:val="annotation text"/>
    <w:basedOn w:val="Normal"/>
    <w:link w:val="CommentTextChar"/>
    <w:unhideWhenUsed/>
    <w:rsid w:val="00F26132"/>
    <w:rPr>
      <w:sz w:val="20"/>
    </w:rPr>
  </w:style>
  <w:style w:type="character" w:customStyle="1" w:styleId="CommentTextChar">
    <w:name w:val="Comment Text Char"/>
    <w:basedOn w:val="DefaultParagraphFont"/>
    <w:link w:val="CommentText"/>
    <w:rsid w:val="00F26132"/>
    <w:rPr>
      <w:rFonts w:ascii="CG Times" w:hAnsi="CG Times"/>
    </w:rPr>
  </w:style>
  <w:style w:type="paragraph" w:styleId="CommentSubject">
    <w:name w:val="annotation subject"/>
    <w:basedOn w:val="CommentText"/>
    <w:next w:val="CommentText"/>
    <w:link w:val="CommentSubjectChar"/>
    <w:semiHidden/>
    <w:unhideWhenUsed/>
    <w:rsid w:val="00F26132"/>
    <w:rPr>
      <w:b/>
      <w:bCs/>
    </w:rPr>
  </w:style>
  <w:style w:type="character" w:customStyle="1" w:styleId="CommentSubjectChar">
    <w:name w:val="Comment Subject Char"/>
    <w:basedOn w:val="CommentTextChar"/>
    <w:link w:val="CommentSubject"/>
    <w:semiHidden/>
    <w:rsid w:val="00F26132"/>
    <w:rPr>
      <w:rFonts w:ascii="CG Times" w:hAnsi="CG Times"/>
      <w:b/>
      <w:bCs/>
    </w:rPr>
  </w:style>
  <w:style w:type="paragraph" w:styleId="Revision">
    <w:name w:val="Revision"/>
    <w:hidden/>
    <w:uiPriority w:val="99"/>
    <w:semiHidden/>
    <w:rsid w:val="00AC6856"/>
    <w:rPr>
      <w:rFonts w:ascii="CG Times" w:hAnsi="CG Times"/>
      <w:sz w:val="22"/>
    </w:rPr>
  </w:style>
  <w:style w:type="paragraph" w:styleId="NormalWeb">
    <w:name w:val="Normal (Web)"/>
    <w:basedOn w:val="Normal"/>
    <w:uiPriority w:val="99"/>
    <w:semiHidden/>
    <w:unhideWhenUsed/>
    <w:rsid w:val="00993D12"/>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993D12"/>
    <w:rPr>
      <w:b/>
      <w:bCs/>
    </w:rPr>
  </w:style>
  <w:style w:type="paragraph" w:customStyle="1" w:styleId="Default">
    <w:name w:val="Default"/>
    <w:rsid w:val="00E7375D"/>
    <w:pPr>
      <w:autoSpaceDE w:val="0"/>
      <w:autoSpaceDN w:val="0"/>
      <w:adjustRightInd w:val="0"/>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89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kuf.bih@bih.net.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FB88C14-9115-4AE5-B46D-326BCBDB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442</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GPN</vt:lpstr>
    </vt:vector>
  </TitlesOfParts>
  <Company>The World Bank</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GPN</dc:title>
  <dc:creator>mehmet</dc:creator>
  <cp:keywords>procurement, GPN, IDB</cp:keywords>
  <cp:lastModifiedBy>Mehmet Eken</cp:lastModifiedBy>
  <cp:revision>46</cp:revision>
  <cp:lastPrinted>2009-03-05T06:40:00Z</cp:lastPrinted>
  <dcterms:created xsi:type="dcterms:W3CDTF">2024-09-08T11:59:00Z</dcterms:created>
  <dcterms:modified xsi:type="dcterms:W3CDTF">2025-08-07T06:24:00Z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2023-05-02T08:04:49Z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83dda9f1-fb1f-43fe-99c4-137a66823b3e</vt:lpwstr>
  </property>
  <property fmtid="{D5CDD505-2E9C-101B-9397-08002B2CF9AE}" pid="8" name="MSIP_Label_9ef4adf7-25a7-4f52-a61a-df7190f1d881_ContentBits">
    <vt:lpwstr>1</vt:lpwstr>
  </property>
  <property fmtid="{D5CDD505-2E9C-101B-9397-08002B2CF9AE}" pid="9" name="GrammarlyDocumentId">
    <vt:lpwstr>9f5e949f8ed1ac25b002043970577e051d12d274550ae4fbf071c677038c3c37</vt:lpwstr>
  </property>
</Properties>
</file>