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E7857" w14:textId="77777777" w:rsidR="000920B0" w:rsidRPr="00104F7B" w:rsidRDefault="000920B0" w:rsidP="00104F7B">
      <w:pPr>
        <w:pStyle w:val="Heading1a"/>
        <w:keepNext w:val="0"/>
        <w:keepLines w:val="0"/>
        <w:tabs>
          <w:tab w:val="clear" w:pos="-720"/>
        </w:tabs>
        <w:suppressAutoHyphens w:val="0"/>
        <w:rPr>
          <w:bCs/>
          <w:smallCaps w:val="0"/>
        </w:rPr>
      </w:pPr>
      <w:r w:rsidRPr="00104F7B">
        <w:rPr>
          <w:bCs/>
          <w:smallCaps w:val="0"/>
        </w:rPr>
        <w:t>REQUEST FOR EXPRESSIONS OF INTEREST</w:t>
      </w:r>
    </w:p>
    <w:p w14:paraId="575B8DA7" w14:textId="77777777" w:rsidR="000920B0" w:rsidRPr="00104F7B" w:rsidRDefault="000920B0" w:rsidP="00104F7B">
      <w:pPr>
        <w:pStyle w:val="Heading1a"/>
        <w:keepNext w:val="0"/>
        <w:keepLines w:val="0"/>
        <w:tabs>
          <w:tab w:val="clear" w:pos="-720"/>
        </w:tabs>
        <w:suppressAutoHyphens w:val="0"/>
        <w:rPr>
          <w:bCs/>
          <w:smallCaps w:val="0"/>
        </w:rPr>
      </w:pPr>
      <w:r w:rsidRPr="00104F7B">
        <w:rPr>
          <w:bCs/>
          <w:smallCaps w:val="0"/>
        </w:rPr>
        <w:t>(CONSULTANT SERVICES – SELECTION OF FIRMS)</w:t>
      </w:r>
    </w:p>
    <w:p w14:paraId="616DFF91" w14:textId="77777777" w:rsidR="00104F7B" w:rsidRDefault="00104F7B" w:rsidP="000920B0">
      <w:pPr>
        <w:rPr>
          <w:b/>
          <w:bCs/>
          <w:lang w:val="en-GB"/>
        </w:rPr>
      </w:pPr>
    </w:p>
    <w:p w14:paraId="77B026CF" w14:textId="42A224E3" w:rsidR="000920B0" w:rsidRPr="000920B0" w:rsidRDefault="000920B0" w:rsidP="00104F7B">
      <w:pPr>
        <w:spacing w:after="0"/>
        <w:rPr>
          <w:lang w:val="en-GB"/>
        </w:rPr>
      </w:pPr>
      <w:r w:rsidRPr="00F62FB3">
        <w:rPr>
          <w:b/>
          <w:bCs/>
          <w:lang w:val="en-GB"/>
        </w:rPr>
        <w:t>Country: </w:t>
      </w:r>
      <w:r>
        <w:rPr>
          <w:lang w:val="en-GB"/>
        </w:rPr>
        <w:t>BOSNIA AND HERZEGOVINA</w:t>
      </w:r>
    </w:p>
    <w:p w14:paraId="3BCDD619" w14:textId="56D1DA99" w:rsidR="000920B0" w:rsidRPr="000920B0" w:rsidRDefault="000920B0" w:rsidP="00104F7B">
      <w:pPr>
        <w:spacing w:after="0"/>
        <w:rPr>
          <w:lang w:val="en-GB"/>
        </w:rPr>
      </w:pPr>
      <w:r w:rsidRPr="00F62FB3">
        <w:rPr>
          <w:b/>
          <w:bCs/>
          <w:lang w:val="en-GB"/>
        </w:rPr>
        <w:t>Project Name:</w:t>
      </w:r>
      <w:r w:rsidRPr="000920B0">
        <w:rPr>
          <w:lang w:val="en-GB"/>
        </w:rPr>
        <w:t xml:space="preserve"> ISLAMIC FINANCE GRANT TO </w:t>
      </w:r>
      <w:r>
        <w:rPr>
          <w:lang w:val="en-GB"/>
        </w:rPr>
        <w:t>WAQF DIRECTORATE BOSNIA FOR FEASIBILITY STUDIES</w:t>
      </w:r>
    </w:p>
    <w:p w14:paraId="629B6382" w14:textId="77777777" w:rsidR="000920B0" w:rsidRPr="000920B0" w:rsidRDefault="000920B0" w:rsidP="00104F7B">
      <w:pPr>
        <w:spacing w:after="0"/>
        <w:rPr>
          <w:lang w:val="en-GB"/>
        </w:rPr>
      </w:pPr>
      <w:r w:rsidRPr="00F62FB3">
        <w:rPr>
          <w:b/>
          <w:bCs/>
          <w:lang w:val="en-GB"/>
        </w:rPr>
        <w:t>Sector:</w:t>
      </w:r>
      <w:r w:rsidRPr="000920B0">
        <w:rPr>
          <w:lang w:val="en-GB"/>
        </w:rPr>
        <w:t> ISLAMIC SOCIAL FINANCE</w:t>
      </w:r>
    </w:p>
    <w:p w14:paraId="7E4557AD" w14:textId="77777777" w:rsidR="000920B0" w:rsidRPr="000920B0" w:rsidRDefault="000920B0" w:rsidP="00104F7B">
      <w:pPr>
        <w:spacing w:after="0"/>
        <w:rPr>
          <w:lang w:val="en-GB"/>
        </w:rPr>
      </w:pPr>
      <w:r w:rsidRPr="00F62FB3">
        <w:rPr>
          <w:b/>
          <w:bCs/>
          <w:lang w:val="en-GB"/>
        </w:rPr>
        <w:t>Mode of Financing:</w:t>
      </w:r>
      <w:r w:rsidRPr="000920B0">
        <w:rPr>
          <w:lang w:val="en-GB"/>
        </w:rPr>
        <w:t> ISLAMIC FINANCE GRANT</w:t>
      </w:r>
    </w:p>
    <w:p w14:paraId="454185CD" w14:textId="240B1829" w:rsidR="000920B0" w:rsidRPr="000920B0" w:rsidRDefault="000920B0" w:rsidP="00104F7B">
      <w:pPr>
        <w:spacing w:after="0"/>
        <w:rPr>
          <w:lang w:val="en-GB"/>
        </w:rPr>
      </w:pPr>
      <w:r w:rsidRPr="00F62FB3">
        <w:rPr>
          <w:b/>
          <w:bCs/>
          <w:lang w:val="en-GB"/>
        </w:rPr>
        <w:t>Financing No:</w:t>
      </w:r>
      <w:r w:rsidRPr="000920B0">
        <w:rPr>
          <w:lang w:val="en-GB"/>
        </w:rPr>
        <w:t>  </w:t>
      </w:r>
      <w:r>
        <w:rPr>
          <w:lang w:val="en-GB"/>
        </w:rPr>
        <w:t>BIH</w:t>
      </w:r>
      <w:r w:rsidRPr="000920B0">
        <w:rPr>
          <w:lang w:val="en-GB"/>
        </w:rPr>
        <w:t>10</w:t>
      </w:r>
      <w:r>
        <w:rPr>
          <w:lang w:val="en-GB"/>
        </w:rPr>
        <w:t>12</w:t>
      </w:r>
    </w:p>
    <w:p w14:paraId="6E2F6F3B" w14:textId="4EC96198" w:rsidR="000920B0" w:rsidRPr="000920B0" w:rsidRDefault="000920B0" w:rsidP="00104F7B">
      <w:pPr>
        <w:spacing w:before="120" w:after="120"/>
        <w:rPr>
          <w:lang w:val="en-GB"/>
        </w:rPr>
      </w:pPr>
      <w:r>
        <w:rPr>
          <w:lang w:val="en-GB"/>
        </w:rPr>
        <w:t>Islamic Community in Bosnia and Herzegovina – Waqf Directorate</w:t>
      </w:r>
      <w:r w:rsidRPr="000920B0">
        <w:rPr>
          <w:lang w:val="en-GB"/>
        </w:rPr>
        <w:t xml:space="preserve"> has requested the Islamic Development Bank (hereinafter the IsDB) to provide technical assistance (TA) toward the cost of the “Islamic Finance Grant </w:t>
      </w:r>
      <w:r>
        <w:rPr>
          <w:lang w:val="en-GB"/>
        </w:rPr>
        <w:t>to Waqf directorate Bosnia for feasibility studies</w:t>
      </w:r>
      <w:r w:rsidRPr="000920B0">
        <w:rPr>
          <w:lang w:val="en-GB"/>
        </w:rPr>
        <w:t xml:space="preserve">”. It intends to apply part of the proceeds to payments for consulting services to be procured under this project. </w:t>
      </w:r>
      <w:r>
        <w:rPr>
          <w:lang w:val="en-GB"/>
        </w:rPr>
        <w:t xml:space="preserve">Waqf Directorate of Islamic Community of Bosnia and Herzegovina </w:t>
      </w:r>
      <w:r w:rsidRPr="000920B0">
        <w:rPr>
          <w:lang w:val="en-GB"/>
        </w:rPr>
        <w:t>will jointly finance this Project.</w:t>
      </w:r>
    </w:p>
    <w:p w14:paraId="2CCB0FAA" w14:textId="0F962411" w:rsidR="000920B0" w:rsidRDefault="003A0C32" w:rsidP="000920B0">
      <w:r>
        <w:t>The Grant aims to</w:t>
      </w:r>
      <w:r w:rsidR="000920B0" w:rsidRPr="000920B0">
        <w:t xml:space="preserve"> empower the Islamic Community in Bosnia and Herzegovina (ICBH) with a robust and modern Waqf property management system by developing and implementing the Digital Hub. This initiative will replace outdated practices with a cutting-edge digital solution that enhances efficiency, transparency, and accessibility in the management of these vital cultural, historical, and religious assets.</w:t>
      </w:r>
    </w:p>
    <w:p w14:paraId="1A2437D1" w14:textId="77777777" w:rsidR="003A0C32" w:rsidRDefault="003A0C32" w:rsidP="003A0C32">
      <w:r w:rsidRPr="003A0C32">
        <w:t>This transition involves replacing outdated methods with a centralized digital system that ensures secure and easily accessible information on Waqf properties. The project will streamline processes for tracking, analyzing, and managing these assets, thereby improving administrative efficiency and supporting more informed decision-making. A key component of the system will be the creation of a comprehensive database that includes spatial data, such as maps and geographic information, to facilitate better understanding and oversight of each property. Additionally, a user-friendly, web-based application will be developed to provide authorized users with an efficient interface for accessing and managing Waqf property information.</w:t>
      </w:r>
    </w:p>
    <w:p w14:paraId="134B18B9" w14:textId="60F7B694" w:rsidR="003A0C32" w:rsidRDefault="003A0C32" w:rsidP="003A0C32">
      <w:r w:rsidRPr="003A0C32">
        <w:t>This project will ultimately contribute to the preservation and effective utilization of Waqf properties for the benefit of the community and future generations.</w:t>
      </w:r>
    </w:p>
    <w:p w14:paraId="6B6E5515" w14:textId="0DF2475E" w:rsidR="000920B0" w:rsidRPr="000920B0" w:rsidRDefault="000920B0" w:rsidP="000920B0">
      <w:pPr>
        <w:rPr>
          <w:highlight w:val="yellow"/>
          <w:lang w:val="en-GB"/>
        </w:rPr>
      </w:pPr>
      <w:r w:rsidRPr="000920B0">
        <w:rPr>
          <w:lang w:val="en-GB"/>
        </w:rPr>
        <w:t>The draft TOR for the assignment is attached in Annex-1.</w:t>
      </w:r>
    </w:p>
    <w:p w14:paraId="02C309AF" w14:textId="62D8C9C2" w:rsidR="000920B0" w:rsidRPr="000920B0" w:rsidRDefault="00FB3D8F" w:rsidP="000920B0">
      <w:pPr>
        <w:rPr>
          <w:lang w:val="en-GB"/>
        </w:rPr>
      </w:pPr>
      <w:r w:rsidRPr="00FB3D8F">
        <w:rPr>
          <w:lang w:val="en-GB"/>
        </w:rPr>
        <w:t>Waqf Directorate</w:t>
      </w:r>
      <w:r w:rsidR="000920B0" w:rsidRPr="000920B0">
        <w:rPr>
          <w:lang w:val="en-GB"/>
        </w:rPr>
        <w:t xml:space="preserve"> now invites eligible consulting firms (“Consultants”) to indicate their interest in providing the listed services in the draft ToR. Interested Consultants must provide specific information that demonstrates that they are fully qualified to perform the services (availability of appropriate experience and </w:t>
      </w:r>
      <w:r w:rsidR="00F62FB3" w:rsidRPr="000920B0">
        <w:rPr>
          <w:lang w:val="en-GB"/>
        </w:rPr>
        <w:t>skilful</w:t>
      </w:r>
      <w:r w:rsidR="000920B0" w:rsidRPr="000920B0">
        <w:rPr>
          <w:lang w:val="en-GB"/>
        </w:rPr>
        <w:t xml:space="preserve"> staff confirmed by brochures, description of similar assignments in analogous conditions, etc.) including expertise in developing similar studies.</w:t>
      </w:r>
    </w:p>
    <w:p w14:paraId="0F572637" w14:textId="77777777" w:rsidR="000920B0" w:rsidRPr="000920B0" w:rsidRDefault="000920B0" w:rsidP="000920B0">
      <w:pPr>
        <w:rPr>
          <w:lang w:val="en-GB"/>
        </w:rPr>
      </w:pPr>
      <w:r w:rsidRPr="000920B0">
        <w:rPr>
          <w:lang w:val="en-GB"/>
        </w:rPr>
        <w:t>The shortlisting criteria / sub-criteria are:</w:t>
      </w:r>
    </w:p>
    <w:p w14:paraId="588D3041" w14:textId="4C26692E" w:rsidR="00465CBE" w:rsidRPr="004B2EFF" w:rsidRDefault="00465CBE" w:rsidP="004B2EFF">
      <w:pPr>
        <w:pStyle w:val="ListParagraph"/>
        <w:numPr>
          <w:ilvl w:val="0"/>
          <w:numId w:val="2"/>
        </w:numPr>
        <w:spacing w:after="120"/>
        <w:contextualSpacing w:val="0"/>
        <w:rPr>
          <w:lang w:val="en-GB"/>
        </w:rPr>
      </w:pPr>
      <w:r w:rsidRPr="00465CBE">
        <w:rPr>
          <w:lang w:val="en-GB"/>
        </w:rPr>
        <w:t xml:space="preserve">The consultant should demonstrate general experience in providing consultancy services in spatial data management systems, development of web applications, processing and managing large volumes of data, knowledge of property administration in Bosnia and Herzegovina, and </w:t>
      </w:r>
      <w:r w:rsidRPr="00465CBE">
        <w:rPr>
          <w:lang w:val="en-GB"/>
        </w:rPr>
        <w:lastRenderedPageBreak/>
        <w:t xml:space="preserve">the establishment of IT infrastructure for projects of this type, with a minimum of </w:t>
      </w:r>
      <w:r w:rsidR="00B5199F">
        <w:rPr>
          <w:lang w:val="en-GB"/>
        </w:rPr>
        <w:t xml:space="preserve">seven </w:t>
      </w:r>
      <w:r w:rsidRPr="00465CBE">
        <w:rPr>
          <w:lang w:val="en-GB"/>
        </w:rPr>
        <w:t>(</w:t>
      </w:r>
      <w:r w:rsidR="00B5199F">
        <w:rPr>
          <w:lang w:val="en-GB"/>
        </w:rPr>
        <w:t>7</w:t>
      </w:r>
      <w:r w:rsidRPr="00465CBE">
        <w:rPr>
          <w:lang w:val="en-GB"/>
        </w:rPr>
        <w:t>) years of experience.</w:t>
      </w:r>
    </w:p>
    <w:p w14:paraId="6C8692F6" w14:textId="77777777" w:rsidR="00F62FB3" w:rsidRDefault="00465CBE" w:rsidP="00F04EC4">
      <w:pPr>
        <w:pStyle w:val="ListParagraph"/>
        <w:numPr>
          <w:ilvl w:val="0"/>
          <w:numId w:val="2"/>
        </w:numPr>
        <w:spacing w:before="120" w:after="120"/>
        <w:contextualSpacing w:val="0"/>
        <w:rPr>
          <w:lang w:val="en-GB"/>
        </w:rPr>
      </w:pPr>
      <w:r w:rsidRPr="00F62FB3">
        <w:rPr>
          <w:lang w:val="en-GB"/>
        </w:rPr>
        <w:t xml:space="preserve">The company should demonstrate that it possesses the technical and managerial capabilities to successfully carry out the task, through a brief presentation of the company’s management structure and number of full-time employees. </w:t>
      </w:r>
    </w:p>
    <w:p w14:paraId="302DD1F6" w14:textId="4B17D987" w:rsidR="000920B0" w:rsidRPr="000920B0" w:rsidRDefault="000920B0" w:rsidP="000920B0">
      <w:pPr>
        <w:rPr>
          <w:lang w:val="en-GB"/>
        </w:rPr>
      </w:pPr>
      <w:r w:rsidRPr="000920B0">
        <w:rPr>
          <w:lang w:val="en-GB"/>
        </w:rPr>
        <w:t>The attention of interested Consultants is drawn to Paragraphs, 1.23, and 1.24 of The Guidelines for the procurement of Consultancy Services under lsDB project financing (April 20.19, revised in February 2023) (the “Procurement Guidelines”), setting forth IsDB’s policy on conflict of interest: </w:t>
      </w:r>
      <w:hyperlink r:id="rId5" w:tgtFrame="_blank" w:history="1">
        <w:r w:rsidRPr="000920B0">
          <w:rPr>
            <w:rStyle w:val="Hyperlink"/>
            <w:lang w:val="en-GB"/>
          </w:rPr>
          <w:t>Guidelines for the Procurement of Consultancy Services under IsDB Project Financing_1.pdf</w:t>
        </w:r>
      </w:hyperlink>
    </w:p>
    <w:p w14:paraId="7457CE21" w14:textId="297D8700" w:rsidR="000920B0" w:rsidRPr="000920B0" w:rsidRDefault="000920B0" w:rsidP="000920B0">
      <w:pPr>
        <w:rPr>
          <w:lang w:val="en-GB"/>
        </w:rPr>
      </w:pPr>
      <w:r w:rsidRPr="000920B0">
        <w:rPr>
          <w:lang w:val="en-GB"/>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76BA267F" w14:textId="6E0E56A7" w:rsidR="000920B0" w:rsidRPr="000920B0" w:rsidRDefault="000920B0" w:rsidP="000920B0">
      <w:pPr>
        <w:rPr>
          <w:lang w:val="en-GB"/>
        </w:rPr>
      </w:pPr>
      <w:r w:rsidRPr="000920B0">
        <w:rPr>
          <w:lang w:val="en-GB"/>
        </w:rPr>
        <w:t>A consultant will be selected in accordance with the Consultant Qualifications Selection/International Shortlist (CQS) method as set out in the Procurement Guidelines.</w:t>
      </w:r>
    </w:p>
    <w:p w14:paraId="34AD159A" w14:textId="6D5B066B" w:rsidR="000920B0" w:rsidRPr="000920B0" w:rsidRDefault="000920B0" w:rsidP="000920B0">
      <w:pPr>
        <w:rPr>
          <w:lang w:val="en-GB"/>
        </w:rPr>
      </w:pPr>
      <w:r w:rsidRPr="000920B0">
        <w:rPr>
          <w:lang w:val="en-GB"/>
        </w:rPr>
        <w:t>Interested consultants may obtain further information at the address below during office hours; 8:30 to 1</w:t>
      </w:r>
      <w:r w:rsidR="003A0C32" w:rsidRPr="003A0C32">
        <w:rPr>
          <w:lang w:val="en-GB"/>
        </w:rPr>
        <w:t>5</w:t>
      </w:r>
      <w:r w:rsidRPr="000920B0">
        <w:rPr>
          <w:lang w:val="en-GB"/>
        </w:rPr>
        <w:t>:30 hours </w:t>
      </w:r>
      <w:r w:rsidR="003A0C32" w:rsidRPr="003A0C32">
        <w:rPr>
          <w:lang w:val="en-GB"/>
        </w:rPr>
        <w:t>Sarajevo</w:t>
      </w:r>
      <w:r w:rsidRPr="000920B0">
        <w:rPr>
          <w:lang w:val="en-GB"/>
        </w:rPr>
        <w:t xml:space="preserve"> Local Time.</w:t>
      </w:r>
    </w:p>
    <w:p w14:paraId="6F227C20" w14:textId="7607CAD9" w:rsidR="000920B0" w:rsidRDefault="000920B0" w:rsidP="000920B0">
      <w:pPr>
        <w:rPr>
          <w:lang w:val="en-GB"/>
        </w:rPr>
      </w:pPr>
      <w:r w:rsidRPr="000920B0">
        <w:rPr>
          <w:lang w:val="en-GB"/>
        </w:rPr>
        <w:t xml:space="preserve">Expressions of interest must be delivered in a written form to the address below (in person, or by mail, or by e-mail) by </w:t>
      </w:r>
      <w:r w:rsidRPr="004B2EFF">
        <w:rPr>
          <w:lang w:val="en-GB"/>
        </w:rPr>
        <w:t>the date of </w:t>
      </w:r>
      <w:r w:rsidR="00A12A6B" w:rsidRPr="004B2EFF">
        <w:rPr>
          <w:lang w:val="en-GB"/>
        </w:rPr>
        <w:t>15</w:t>
      </w:r>
      <w:r w:rsidRPr="004B2EFF">
        <w:rPr>
          <w:lang w:val="en-GB"/>
        </w:rPr>
        <w:t xml:space="preserve"> </w:t>
      </w:r>
      <w:r w:rsidR="00A12A6B" w:rsidRPr="004B2EFF">
        <w:rPr>
          <w:lang w:val="en-GB"/>
        </w:rPr>
        <w:t>September</w:t>
      </w:r>
      <w:r w:rsidRPr="004B2EFF">
        <w:rPr>
          <w:lang w:val="en-GB"/>
        </w:rPr>
        <w:t xml:space="preserve"> 2025.</w:t>
      </w:r>
    </w:p>
    <w:p w14:paraId="1900C6E5" w14:textId="77777777" w:rsidR="000920B0" w:rsidRPr="000920B0" w:rsidRDefault="000920B0" w:rsidP="000920B0">
      <w:pPr>
        <w:rPr>
          <w:lang w:val="en-GB"/>
        </w:rPr>
      </w:pPr>
      <w:r w:rsidRPr="000920B0">
        <w:rPr>
          <w:lang w:val="en-GB"/>
        </w:rPr>
        <w:t> </w:t>
      </w:r>
    </w:p>
    <w:p w14:paraId="67DAEAE8" w14:textId="4283FE2B" w:rsidR="000920B0" w:rsidRPr="00D866A2" w:rsidRDefault="000920B0" w:rsidP="000920B0">
      <w:pPr>
        <w:rPr>
          <w:b/>
          <w:bCs/>
          <w:lang w:val="en-GB"/>
        </w:rPr>
      </w:pPr>
      <w:r w:rsidRPr="00D866A2">
        <w:rPr>
          <w:b/>
          <w:bCs/>
          <w:lang w:val="en-GB"/>
        </w:rPr>
        <w:t xml:space="preserve">Islamic Community in Bosnia and Herzegovina - Waqf Directorate </w:t>
      </w:r>
    </w:p>
    <w:p w14:paraId="5472AECE" w14:textId="264D8F96" w:rsidR="000920B0" w:rsidRPr="000920B0" w:rsidRDefault="000920B0" w:rsidP="00625B4F">
      <w:pPr>
        <w:rPr>
          <w:lang w:val="en-GB"/>
        </w:rPr>
      </w:pPr>
      <w:r w:rsidRPr="00A12A6B">
        <w:rPr>
          <w:b/>
          <w:bCs/>
          <w:lang w:val="en-GB"/>
        </w:rPr>
        <w:t>Address:</w:t>
      </w:r>
      <w:r w:rsidR="00625B4F">
        <w:rPr>
          <w:lang w:val="en-GB"/>
        </w:rPr>
        <w:t xml:space="preserve"> </w:t>
      </w:r>
      <w:r w:rsidR="00B80FF6" w:rsidRPr="00B80FF6">
        <w:rPr>
          <w:lang w:val="en-GB"/>
        </w:rPr>
        <w:t xml:space="preserve">Hasiba </w:t>
      </w:r>
      <w:proofErr w:type="spellStart"/>
      <w:r w:rsidR="00B80FF6" w:rsidRPr="00B80FF6">
        <w:rPr>
          <w:lang w:val="en-GB"/>
        </w:rPr>
        <w:t>Brankovića</w:t>
      </w:r>
      <w:proofErr w:type="spellEnd"/>
      <w:r w:rsidR="00B80FF6" w:rsidRPr="00B80FF6">
        <w:rPr>
          <w:lang w:val="en-GB"/>
        </w:rPr>
        <w:t xml:space="preserve"> 2A, 71 000 Sarajevo, Bosna </w:t>
      </w:r>
      <w:proofErr w:type="spellStart"/>
      <w:r w:rsidR="00B80FF6" w:rsidRPr="00B80FF6">
        <w:rPr>
          <w:lang w:val="en-GB"/>
        </w:rPr>
        <w:t>i</w:t>
      </w:r>
      <w:proofErr w:type="spellEnd"/>
      <w:r w:rsidR="00B80FF6" w:rsidRPr="00B80FF6">
        <w:rPr>
          <w:lang w:val="en-GB"/>
        </w:rPr>
        <w:t xml:space="preserve"> Hercegovina</w:t>
      </w:r>
    </w:p>
    <w:p w14:paraId="44153AC9" w14:textId="764DD519" w:rsidR="000920B0" w:rsidRPr="000920B0" w:rsidRDefault="000920B0" w:rsidP="000920B0">
      <w:pPr>
        <w:rPr>
          <w:lang w:val="en-GB"/>
        </w:rPr>
      </w:pPr>
      <w:r w:rsidRPr="00A12A6B">
        <w:rPr>
          <w:b/>
          <w:bCs/>
          <w:lang w:val="en-GB"/>
        </w:rPr>
        <w:t>Tel:</w:t>
      </w:r>
      <w:r w:rsidRPr="000920B0">
        <w:rPr>
          <w:lang w:val="en-GB"/>
        </w:rPr>
        <w:t xml:space="preserve">        +</w:t>
      </w:r>
      <w:r>
        <w:rPr>
          <w:lang w:val="en-GB"/>
        </w:rPr>
        <w:t xml:space="preserve">387 33 200 355 </w:t>
      </w:r>
      <w:r>
        <w:rPr>
          <w:lang w:val="en-GB"/>
        </w:rPr>
        <w:tab/>
        <w:t>+387 33 206 037</w:t>
      </w:r>
    </w:p>
    <w:p w14:paraId="7D7CFBF2" w14:textId="7F97B097" w:rsidR="000920B0" w:rsidRPr="000920B0" w:rsidRDefault="000920B0" w:rsidP="000920B0">
      <w:pPr>
        <w:rPr>
          <w:lang w:val="en-GB"/>
        </w:rPr>
      </w:pPr>
      <w:r w:rsidRPr="00A12A6B">
        <w:rPr>
          <w:b/>
          <w:bCs/>
          <w:lang w:val="en-GB"/>
        </w:rPr>
        <w:t>Email:</w:t>
      </w:r>
      <w:r w:rsidRPr="000920B0">
        <w:rPr>
          <w:lang w:val="en-GB"/>
        </w:rPr>
        <w:t xml:space="preserve">     </w:t>
      </w:r>
      <w:hyperlink r:id="rId6" w:history="1">
        <w:r w:rsidRPr="001C074E">
          <w:rPr>
            <w:rStyle w:val="Hyperlink"/>
            <w:lang w:val="en-GB"/>
          </w:rPr>
          <w:t>vakuf.bih@bih.net.ba</w:t>
        </w:r>
      </w:hyperlink>
    </w:p>
    <w:p w14:paraId="3C8FBD25" w14:textId="77777777" w:rsidR="00143023" w:rsidRDefault="00143023"/>
    <w:sectPr w:rsidR="00143023" w:rsidSect="00A12A6B">
      <w:pgSz w:w="12240" w:h="15840"/>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1B61"/>
    <w:multiLevelType w:val="hybridMultilevel"/>
    <w:tmpl w:val="08727406"/>
    <w:lvl w:ilvl="0" w:tplc="141A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6E5D72"/>
    <w:multiLevelType w:val="hybridMultilevel"/>
    <w:tmpl w:val="2FAAFA9A"/>
    <w:lvl w:ilvl="0" w:tplc="141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EA71FB"/>
    <w:multiLevelType w:val="hybridMultilevel"/>
    <w:tmpl w:val="49E68A14"/>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C34086"/>
    <w:multiLevelType w:val="hybridMultilevel"/>
    <w:tmpl w:val="E736C464"/>
    <w:lvl w:ilvl="0" w:tplc="141A0017">
      <w:start w:val="1"/>
      <w:numFmt w:val="lowerLetter"/>
      <w:lvlText w:val="%1)"/>
      <w:lvlJc w:val="left"/>
      <w:pPr>
        <w:ind w:left="360" w:hanging="360"/>
      </w:pPr>
    </w:lvl>
    <w:lvl w:ilvl="1" w:tplc="CC9E404E">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9495917">
    <w:abstractNumId w:val="0"/>
  </w:num>
  <w:num w:numId="2" w16cid:durableId="687826659">
    <w:abstractNumId w:val="3"/>
  </w:num>
  <w:num w:numId="3" w16cid:durableId="671951485">
    <w:abstractNumId w:val="1"/>
  </w:num>
  <w:num w:numId="4" w16cid:durableId="1055810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B0"/>
    <w:rsid w:val="00021C23"/>
    <w:rsid w:val="000920B0"/>
    <w:rsid w:val="000A09B7"/>
    <w:rsid w:val="00104F7B"/>
    <w:rsid w:val="00143023"/>
    <w:rsid w:val="0022003E"/>
    <w:rsid w:val="00255A69"/>
    <w:rsid w:val="00272535"/>
    <w:rsid w:val="002B4685"/>
    <w:rsid w:val="003A0C32"/>
    <w:rsid w:val="00465CBE"/>
    <w:rsid w:val="004B2EFF"/>
    <w:rsid w:val="004E7B21"/>
    <w:rsid w:val="00522D66"/>
    <w:rsid w:val="00625B4F"/>
    <w:rsid w:val="006E21CB"/>
    <w:rsid w:val="007E3A64"/>
    <w:rsid w:val="00845E49"/>
    <w:rsid w:val="00924795"/>
    <w:rsid w:val="00A12A6B"/>
    <w:rsid w:val="00AF0DDC"/>
    <w:rsid w:val="00AF51EE"/>
    <w:rsid w:val="00B4154F"/>
    <w:rsid w:val="00B5199F"/>
    <w:rsid w:val="00B80FF6"/>
    <w:rsid w:val="00C309C9"/>
    <w:rsid w:val="00D866A2"/>
    <w:rsid w:val="00DD00B7"/>
    <w:rsid w:val="00E77D9F"/>
    <w:rsid w:val="00F62FB3"/>
    <w:rsid w:val="00FB3D8F"/>
    <w:rsid w:val="00FC2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BD0C"/>
  <w15:chartTrackingRefBased/>
  <w15:docId w15:val="{B360EE5F-A583-4F1C-89B2-99D184ED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EE"/>
    <w:pPr>
      <w:jc w:val="both"/>
    </w:pPr>
    <w:rPr>
      <w:rFonts w:asciiTheme="majorBidi" w:hAnsiTheme="majorBidi"/>
      <w:sz w:val="24"/>
    </w:rPr>
  </w:style>
  <w:style w:type="paragraph" w:styleId="Heading1">
    <w:name w:val="heading 1"/>
    <w:basedOn w:val="Normal"/>
    <w:next w:val="Normal"/>
    <w:link w:val="Heading1Char"/>
    <w:autoRedefine/>
    <w:uiPriority w:val="9"/>
    <w:qFormat/>
    <w:rsid w:val="00AF51EE"/>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AF51E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20B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20B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20B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920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20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20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20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1EE"/>
    <w:rPr>
      <w:rFonts w:asciiTheme="majorBidi" w:eastAsiaTheme="majorEastAsia" w:hAnsiTheme="majorBidi" w:cstheme="majorBidi"/>
      <w:b/>
      <w:sz w:val="28"/>
      <w:szCs w:val="32"/>
    </w:rPr>
  </w:style>
  <w:style w:type="character" w:customStyle="1" w:styleId="Heading2Char">
    <w:name w:val="Heading 2 Char"/>
    <w:basedOn w:val="DefaultParagraphFont"/>
    <w:link w:val="Heading2"/>
    <w:uiPriority w:val="9"/>
    <w:semiHidden/>
    <w:rsid w:val="00AF51EE"/>
    <w:rPr>
      <w:rFonts w:asciiTheme="majorBidi" w:eastAsiaTheme="majorEastAsia" w:hAnsiTheme="majorBidi" w:cstheme="majorBidi"/>
      <w:b/>
      <w:sz w:val="24"/>
      <w:szCs w:val="26"/>
    </w:rPr>
  </w:style>
  <w:style w:type="paragraph" w:styleId="Title">
    <w:name w:val="Title"/>
    <w:basedOn w:val="Normal"/>
    <w:next w:val="Normal"/>
    <w:link w:val="TitleChar"/>
    <w:autoRedefine/>
    <w:uiPriority w:val="10"/>
    <w:qFormat/>
    <w:rsid w:val="00AF51EE"/>
    <w:pPr>
      <w:spacing w:after="0" w:line="240" w:lineRule="auto"/>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AF51EE"/>
    <w:rPr>
      <w:rFonts w:asciiTheme="majorBidi" w:eastAsiaTheme="majorEastAsia" w:hAnsiTheme="majorBidi" w:cstheme="majorBidi"/>
      <w:spacing w:val="-10"/>
      <w:kern w:val="28"/>
      <w:sz w:val="44"/>
      <w:szCs w:val="56"/>
    </w:rPr>
  </w:style>
  <w:style w:type="character" w:customStyle="1" w:styleId="Heading3Char">
    <w:name w:val="Heading 3 Char"/>
    <w:basedOn w:val="DefaultParagraphFont"/>
    <w:link w:val="Heading3"/>
    <w:uiPriority w:val="9"/>
    <w:semiHidden/>
    <w:rsid w:val="000920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20B0"/>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0920B0"/>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0920B0"/>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0920B0"/>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0920B0"/>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920B0"/>
    <w:rPr>
      <w:rFonts w:eastAsiaTheme="majorEastAsia" w:cstheme="majorBidi"/>
      <w:color w:val="272727" w:themeColor="text1" w:themeTint="D8"/>
      <w:sz w:val="24"/>
    </w:rPr>
  </w:style>
  <w:style w:type="paragraph" w:styleId="Subtitle">
    <w:name w:val="Subtitle"/>
    <w:basedOn w:val="Normal"/>
    <w:next w:val="Normal"/>
    <w:link w:val="SubtitleChar"/>
    <w:uiPriority w:val="11"/>
    <w:qFormat/>
    <w:rsid w:val="000920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0B0"/>
    <w:pPr>
      <w:spacing w:before="160"/>
      <w:jc w:val="center"/>
    </w:pPr>
    <w:rPr>
      <w:i/>
      <w:iCs/>
      <w:color w:val="404040" w:themeColor="text1" w:themeTint="BF"/>
    </w:rPr>
  </w:style>
  <w:style w:type="character" w:customStyle="1" w:styleId="QuoteChar">
    <w:name w:val="Quote Char"/>
    <w:basedOn w:val="DefaultParagraphFont"/>
    <w:link w:val="Quote"/>
    <w:uiPriority w:val="29"/>
    <w:rsid w:val="000920B0"/>
    <w:rPr>
      <w:rFonts w:asciiTheme="majorBidi" w:hAnsiTheme="majorBidi"/>
      <w:i/>
      <w:iCs/>
      <w:color w:val="404040" w:themeColor="text1" w:themeTint="BF"/>
      <w:sz w:val="24"/>
    </w:rPr>
  </w:style>
  <w:style w:type="paragraph" w:styleId="ListParagraph">
    <w:name w:val="List Paragraph"/>
    <w:basedOn w:val="Normal"/>
    <w:uiPriority w:val="34"/>
    <w:qFormat/>
    <w:rsid w:val="000920B0"/>
    <w:pPr>
      <w:ind w:left="720"/>
      <w:contextualSpacing/>
    </w:pPr>
  </w:style>
  <w:style w:type="character" w:styleId="IntenseEmphasis">
    <w:name w:val="Intense Emphasis"/>
    <w:basedOn w:val="DefaultParagraphFont"/>
    <w:uiPriority w:val="21"/>
    <w:qFormat/>
    <w:rsid w:val="000920B0"/>
    <w:rPr>
      <w:i/>
      <w:iCs/>
      <w:color w:val="2F5496" w:themeColor="accent1" w:themeShade="BF"/>
    </w:rPr>
  </w:style>
  <w:style w:type="paragraph" w:styleId="IntenseQuote">
    <w:name w:val="Intense Quote"/>
    <w:basedOn w:val="Normal"/>
    <w:next w:val="Normal"/>
    <w:link w:val="IntenseQuoteChar"/>
    <w:uiPriority w:val="30"/>
    <w:qFormat/>
    <w:rsid w:val="00092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20B0"/>
    <w:rPr>
      <w:rFonts w:asciiTheme="majorBidi" w:hAnsiTheme="majorBidi"/>
      <w:i/>
      <w:iCs/>
      <w:color w:val="2F5496" w:themeColor="accent1" w:themeShade="BF"/>
      <w:sz w:val="24"/>
    </w:rPr>
  </w:style>
  <w:style w:type="character" w:styleId="IntenseReference">
    <w:name w:val="Intense Reference"/>
    <w:basedOn w:val="DefaultParagraphFont"/>
    <w:uiPriority w:val="32"/>
    <w:qFormat/>
    <w:rsid w:val="000920B0"/>
    <w:rPr>
      <w:b/>
      <w:bCs/>
      <w:smallCaps/>
      <w:color w:val="2F5496" w:themeColor="accent1" w:themeShade="BF"/>
      <w:spacing w:val="5"/>
    </w:rPr>
  </w:style>
  <w:style w:type="character" w:styleId="Hyperlink">
    <w:name w:val="Hyperlink"/>
    <w:basedOn w:val="DefaultParagraphFont"/>
    <w:uiPriority w:val="99"/>
    <w:unhideWhenUsed/>
    <w:rsid w:val="000920B0"/>
    <w:rPr>
      <w:color w:val="0563C1" w:themeColor="hyperlink"/>
      <w:u w:val="single"/>
    </w:rPr>
  </w:style>
  <w:style w:type="character" w:styleId="UnresolvedMention">
    <w:name w:val="Unresolved Mention"/>
    <w:basedOn w:val="DefaultParagraphFont"/>
    <w:uiPriority w:val="99"/>
    <w:semiHidden/>
    <w:unhideWhenUsed/>
    <w:rsid w:val="000920B0"/>
    <w:rPr>
      <w:color w:val="605E5C"/>
      <w:shd w:val="clear" w:color="auto" w:fill="E1DFDD"/>
    </w:rPr>
  </w:style>
  <w:style w:type="paragraph" w:customStyle="1" w:styleId="Heading1a">
    <w:name w:val="Heading 1a"/>
    <w:rsid w:val="00104F7B"/>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72014">
      <w:bodyDiv w:val="1"/>
      <w:marLeft w:val="0"/>
      <w:marRight w:val="0"/>
      <w:marTop w:val="0"/>
      <w:marBottom w:val="0"/>
      <w:divBdr>
        <w:top w:val="none" w:sz="0" w:space="0" w:color="auto"/>
        <w:left w:val="none" w:sz="0" w:space="0" w:color="auto"/>
        <w:bottom w:val="none" w:sz="0" w:space="0" w:color="auto"/>
        <w:right w:val="none" w:sz="0" w:space="0" w:color="auto"/>
      </w:divBdr>
    </w:div>
    <w:div w:id="723719648">
      <w:bodyDiv w:val="1"/>
      <w:marLeft w:val="0"/>
      <w:marRight w:val="0"/>
      <w:marTop w:val="0"/>
      <w:marBottom w:val="0"/>
      <w:divBdr>
        <w:top w:val="none" w:sz="0" w:space="0" w:color="auto"/>
        <w:left w:val="none" w:sz="0" w:space="0" w:color="auto"/>
        <w:bottom w:val="none" w:sz="0" w:space="0" w:color="auto"/>
        <w:right w:val="none" w:sz="0" w:space="0" w:color="auto"/>
      </w:divBdr>
    </w:div>
    <w:div w:id="1273048688">
      <w:bodyDiv w:val="1"/>
      <w:marLeft w:val="0"/>
      <w:marRight w:val="0"/>
      <w:marTop w:val="0"/>
      <w:marBottom w:val="0"/>
      <w:divBdr>
        <w:top w:val="none" w:sz="0" w:space="0" w:color="auto"/>
        <w:left w:val="none" w:sz="0" w:space="0" w:color="auto"/>
        <w:bottom w:val="none" w:sz="0" w:space="0" w:color="auto"/>
        <w:right w:val="none" w:sz="0" w:space="0" w:color="auto"/>
      </w:divBdr>
    </w:div>
    <w:div w:id="20504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kuf.bih@bih.net.ba" TargetMode="External"/><Relationship Id="rId5" Type="http://schemas.openxmlformats.org/officeDocument/2006/relationships/hyperlink" Target="https://www.isdb.org/project-procurement/sites/pproc/files/media/documents/Guidelines%20for%20the%20Procurement%20of%20Consultancy%20Services%20under%20IsDB%20Project%20Financing_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2</Pages>
  <Words>733</Words>
  <Characters>4180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 Colakovic</dc:creator>
  <cp:keywords/>
  <dc:description/>
  <cp:lastModifiedBy>Mehmet Eken</cp:lastModifiedBy>
  <cp:revision>16</cp:revision>
  <dcterms:created xsi:type="dcterms:W3CDTF">2025-05-06T11:23:00Z</dcterms:created>
  <dcterms:modified xsi:type="dcterms:W3CDTF">2025-08-13T13:24:00Z</dcterms:modified>
</cp:coreProperties>
</file>