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54961A" w14:textId="62443DC0" w:rsidR="00627709" w:rsidRDefault="00C37A43" w:rsidP="00C37A43">
      <w:pPr>
        <w:pStyle w:val="Default"/>
        <w:jc w:val="center"/>
      </w:pPr>
      <w:r w:rsidRPr="00C37A43">
        <w:rPr>
          <w:noProof/>
        </w:rPr>
        <w:drawing>
          <wp:inline distT="0" distB="0" distL="0" distR="0" wp14:anchorId="4FF4D52D" wp14:editId="0F863C7B">
            <wp:extent cx="1075989" cy="1275905"/>
            <wp:effectExtent l="0" t="0" r="0" b="635"/>
            <wp:docPr id="90950276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87299" cy="1289317"/>
                    </a:xfrm>
                    <a:prstGeom prst="rect">
                      <a:avLst/>
                    </a:prstGeom>
                    <a:noFill/>
                    <a:ln>
                      <a:noFill/>
                    </a:ln>
                  </pic:spPr>
                </pic:pic>
              </a:graphicData>
            </a:graphic>
          </wp:inline>
        </w:drawing>
      </w:r>
    </w:p>
    <w:p w14:paraId="2D5E5CE3" w14:textId="69E35EEF" w:rsidR="00C37A43" w:rsidRPr="00DC4465" w:rsidRDefault="00C37A43" w:rsidP="00DC4465">
      <w:pPr>
        <w:pStyle w:val="Default"/>
        <w:jc w:val="center"/>
        <w:rPr>
          <w:rFonts w:ascii="Oswald" w:hAnsi="Oswald"/>
          <w:sz w:val="40"/>
          <w:szCs w:val="40"/>
        </w:rPr>
      </w:pPr>
      <w:r w:rsidRPr="00DC4465">
        <w:rPr>
          <w:rFonts w:ascii="Oswald" w:hAnsi="Oswald"/>
          <w:sz w:val="40"/>
          <w:szCs w:val="40"/>
        </w:rPr>
        <w:t>ISLAMIC DEVELOPMENT BANK</w:t>
      </w:r>
    </w:p>
    <w:p w14:paraId="5AC3EC1A" w14:textId="77777777" w:rsidR="00DC4465" w:rsidRPr="00DC4465" w:rsidRDefault="00DC4465" w:rsidP="00DC4465">
      <w:pPr>
        <w:pStyle w:val="Default"/>
        <w:jc w:val="center"/>
        <w:rPr>
          <w:rFonts w:ascii="Oswald" w:hAnsi="Oswald"/>
          <w:sz w:val="40"/>
          <w:szCs w:val="40"/>
        </w:rPr>
      </w:pPr>
    </w:p>
    <w:p w14:paraId="6A88E653" w14:textId="77777777" w:rsidR="00DC4465" w:rsidRDefault="00DC4465" w:rsidP="00C37A43">
      <w:pPr>
        <w:pStyle w:val="Default"/>
        <w:jc w:val="center"/>
        <w:rPr>
          <w:sz w:val="23"/>
          <w:szCs w:val="23"/>
        </w:rPr>
      </w:pPr>
    </w:p>
    <w:p w14:paraId="0B0EFD10" w14:textId="77777777" w:rsidR="00DC4465" w:rsidRDefault="00DC4465" w:rsidP="00C37A43">
      <w:pPr>
        <w:pStyle w:val="Default"/>
        <w:jc w:val="center"/>
        <w:rPr>
          <w:sz w:val="23"/>
          <w:szCs w:val="23"/>
        </w:rPr>
      </w:pPr>
    </w:p>
    <w:p w14:paraId="2F64A7BB" w14:textId="77777777" w:rsidR="00DC4465" w:rsidRDefault="00DC4465" w:rsidP="00C37A43">
      <w:pPr>
        <w:pStyle w:val="Default"/>
        <w:jc w:val="center"/>
        <w:rPr>
          <w:sz w:val="23"/>
          <w:szCs w:val="23"/>
        </w:rPr>
      </w:pPr>
    </w:p>
    <w:p w14:paraId="1C82515C" w14:textId="77777777" w:rsidR="00DC4465" w:rsidRDefault="00DC4465" w:rsidP="00C37A43">
      <w:pPr>
        <w:pStyle w:val="Default"/>
        <w:jc w:val="center"/>
        <w:rPr>
          <w:sz w:val="23"/>
          <w:szCs w:val="23"/>
        </w:rPr>
      </w:pPr>
    </w:p>
    <w:p w14:paraId="17E52A40" w14:textId="77777777" w:rsidR="00DC4465" w:rsidRDefault="00DC4465" w:rsidP="00C37A43">
      <w:pPr>
        <w:pStyle w:val="Default"/>
        <w:jc w:val="center"/>
        <w:rPr>
          <w:sz w:val="23"/>
          <w:szCs w:val="23"/>
        </w:rPr>
      </w:pPr>
    </w:p>
    <w:p w14:paraId="0C6F5340" w14:textId="77777777" w:rsidR="00DC4465" w:rsidRDefault="00DC4465" w:rsidP="00C37A43">
      <w:pPr>
        <w:pStyle w:val="Default"/>
        <w:jc w:val="center"/>
        <w:rPr>
          <w:sz w:val="23"/>
          <w:szCs w:val="23"/>
        </w:rPr>
      </w:pPr>
    </w:p>
    <w:p w14:paraId="243443FE" w14:textId="77777777" w:rsidR="00DC4465" w:rsidRDefault="00DC4465" w:rsidP="00C37A43">
      <w:pPr>
        <w:pStyle w:val="Default"/>
        <w:jc w:val="center"/>
        <w:rPr>
          <w:sz w:val="23"/>
          <w:szCs w:val="23"/>
        </w:rPr>
      </w:pPr>
    </w:p>
    <w:p w14:paraId="06175D66" w14:textId="77777777" w:rsidR="00DC4465" w:rsidRDefault="00DC4465" w:rsidP="00C37A43">
      <w:pPr>
        <w:pStyle w:val="Default"/>
        <w:jc w:val="center"/>
        <w:rPr>
          <w:sz w:val="23"/>
          <w:szCs w:val="23"/>
        </w:rPr>
      </w:pPr>
    </w:p>
    <w:p w14:paraId="690471D8" w14:textId="77777777" w:rsidR="00DC4465" w:rsidRDefault="00DC4465" w:rsidP="00C37A43">
      <w:pPr>
        <w:pStyle w:val="Default"/>
        <w:jc w:val="center"/>
        <w:rPr>
          <w:sz w:val="23"/>
          <w:szCs w:val="23"/>
        </w:rPr>
      </w:pPr>
    </w:p>
    <w:p w14:paraId="1415AF1C" w14:textId="65DC4A2A" w:rsidR="00012090" w:rsidRPr="00C8696B" w:rsidRDefault="00C37A43" w:rsidP="00C37A43">
      <w:pPr>
        <w:pStyle w:val="Default"/>
        <w:jc w:val="center"/>
        <w:rPr>
          <w:rFonts w:ascii="Oswald" w:hAnsi="Oswald"/>
          <w:sz w:val="32"/>
          <w:szCs w:val="32"/>
        </w:rPr>
      </w:pPr>
      <w:r w:rsidRPr="00C8696B">
        <w:rPr>
          <w:rFonts w:ascii="Oswald" w:hAnsi="Oswald"/>
          <w:sz w:val="32"/>
          <w:szCs w:val="32"/>
        </w:rPr>
        <w:t xml:space="preserve">TERMS OF REFERENCE FOR CONSULTANCY SERVICE </w:t>
      </w:r>
    </w:p>
    <w:p w14:paraId="364415FE" w14:textId="77777777" w:rsidR="00C8696B" w:rsidRPr="00012090" w:rsidRDefault="00C8696B" w:rsidP="00C37A43">
      <w:pPr>
        <w:pStyle w:val="Default"/>
        <w:jc w:val="center"/>
        <w:rPr>
          <w:rFonts w:ascii="Oswald" w:hAnsi="Oswald"/>
          <w:sz w:val="28"/>
          <w:szCs w:val="28"/>
        </w:rPr>
      </w:pPr>
    </w:p>
    <w:p w14:paraId="58E8141E" w14:textId="3B5DAF2A" w:rsidR="00C37A43" w:rsidRDefault="00C37A43" w:rsidP="00C37A43">
      <w:pPr>
        <w:pStyle w:val="Default"/>
        <w:jc w:val="center"/>
        <w:rPr>
          <w:rFonts w:ascii="Oswald" w:hAnsi="Oswald"/>
        </w:rPr>
      </w:pPr>
      <w:r w:rsidRPr="00DC4465">
        <w:rPr>
          <w:rFonts w:ascii="Oswald" w:hAnsi="Oswald"/>
        </w:rPr>
        <w:t>FOR THE</w:t>
      </w:r>
    </w:p>
    <w:p w14:paraId="1389DCFF" w14:textId="77777777" w:rsidR="00C8696B" w:rsidRPr="00DC4465" w:rsidRDefault="00C8696B" w:rsidP="00C37A43">
      <w:pPr>
        <w:pStyle w:val="Default"/>
        <w:jc w:val="center"/>
        <w:rPr>
          <w:rFonts w:ascii="Oswald" w:hAnsi="Oswald"/>
        </w:rPr>
      </w:pPr>
    </w:p>
    <w:p w14:paraId="3558F96C" w14:textId="3E02B5C7" w:rsidR="00C37A43" w:rsidRPr="00DC4465" w:rsidRDefault="00C37A43" w:rsidP="00957354">
      <w:pPr>
        <w:pStyle w:val="Default"/>
        <w:numPr>
          <w:ilvl w:val="0"/>
          <w:numId w:val="1"/>
        </w:numPr>
        <w:jc w:val="center"/>
        <w:rPr>
          <w:rFonts w:ascii="Oswald" w:hAnsi="Oswald"/>
        </w:rPr>
      </w:pPr>
      <w:bookmarkStart w:id="0" w:name="_Hlk205459395"/>
      <w:r w:rsidRPr="00DC4465">
        <w:rPr>
          <w:rFonts w:ascii="Oswald" w:hAnsi="Oswald"/>
        </w:rPr>
        <w:t>EVALUATION</w:t>
      </w:r>
      <w:r w:rsidR="00DC4465" w:rsidRPr="00DC4465">
        <w:rPr>
          <w:rFonts w:ascii="Oswald" w:hAnsi="Oswald"/>
        </w:rPr>
        <w:t xml:space="preserve"> </w:t>
      </w:r>
      <w:r w:rsidR="00DC4465">
        <w:rPr>
          <w:rFonts w:ascii="Oswald" w:hAnsi="Oswald"/>
        </w:rPr>
        <w:t>OF</w:t>
      </w:r>
      <w:r w:rsidR="00DC4465" w:rsidRPr="00DC4465">
        <w:rPr>
          <w:rFonts w:ascii="Oswald" w:hAnsi="Oswald"/>
        </w:rPr>
        <w:t xml:space="preserve"> HEALTH SECTOR</w:t>
      </w:r>
      <w:r w:rsidR="00DC4465">
        <w:rPr>
          <w:rFonts w:ascii="Oswald" w:hAnsi="Oswald"/>
        </w:rPr>
        <w:t xml:space="preserve"> </w:t>
      </w:r>
      <w:r w:rsidR="003B3E5E">
        <w:rPr>
          <w:rFonts w:ascii="Oswald" w:hAnsi="Oswald"/>
        </w:rPr>
        <w:t xml:space="preserve">INTERVENTIONS BY </w:t>
      </w:r>
      <w:r w:rsidR="00DC4465">
        <w:rPr>
          <w:rFonts w:ascii="Oswald" w:hAnsi="Oswald"/>
        </w:rPr>
        <w:t>THE ISLAMIC DEVELOPMENT BANK</w:t>
      </w:r>
    </w:p>
    <w:bookmarkEnd w:id="0"/>
    <w:p w14:paraId="1AB71234" w14:textId="77777777" w:rsidR="00C37A43" w:rsidRPr="00DC4465" w:rsidRDefault="00C37A43" w:rsidP="00957354">
      <w:pPr>
        <w:pStyle w:val="Default"/>
        <w:numPr>
          <w:ilvl w:val="0"/>
          <w:numId w:val="1"/>
        </w:numPr>
        <w:rPr>
          <w:rFonts w:ascii="Oswald" w:hAnsi="Oswald"/>
        </w:rPr>
      </w:pPr>
    </w:p>
    <w:p w14:paraId="0BCF1541" w14:textId="77777777" w:rsidR="00C37A43" w:rsidRDefault="00C37A43" w:rsidP="00DC4465">
      <w:pPr>
        <w:pStyle w:val="Default"/>
        <w:rPr>
          <w:sz w:val="22"/>
          <w:szCs w:val="22"/>
        </w:rPr>
      </w:pPr>
    </w:p>
    <w:p w14:paraId="06B1E436" w14:textId="77777777" w:rsidR="00DC4465" w:rsidRDefault="00DC4465" w:rsidP="00DC4465">
      <w:pPr>
        <w:pStyle w:val="Default"/>
        <w:rPr>
          <w:sz w:val="22"/>
          <w:szCs w:val="22"/>
        </w:rPr>
      </w:pPr>
    </w:p>
    <w:p w14:paraId="3B4D070E" w14:textId="77777777" w:rsidR="00DC4465" w:rsidRDefault="00DC4465" w:rsidP="00DC4465">
      <w:pPr>
        <w:pStyle w:val="Default"/>
        <w:rPr>
          <w:sz w:val="22"/>
          <w:szCs w:val="22"/>
        </w:rPr>
      </w:pPr>
    </w:p>
    <w:p w14:paraId="4C9D50E0" w14:textId="77777777" w:rsidR="00DC4465" w:rsidRDefault="00DC4465" w:rsidP="00DC4465">
      <w:pPr>
        <w:pStyle w:val="Default"/>
        <w:rPr>
          <w:sz w:val="22"/>
          <w:szCs w:val="22"/>
        </w:rPr>
      </w:pPr>
    </w:p>
    <w:p w14:paraId="5A8FFCD7" w14:textId="77777777" w:rsidR="00DC4465" w:rsidRDefault="00DC4465" w:rsidP="00DC4465">
      <w:pPr>
        <w:pStyle w:val="Default"/>
        <w:rPr>
          <w:sz w:val="22"/>
          <w:szCs w:val="22"/>
        </w:rPr>
      </w:pPr>
    </w:p>
    <w:p w14:paraId="19F7FE84" w14:textId="77777777" w:rsidR="00DC4465" w:rsidRDefault="00DC4465" w:rsidP="00DC4465">
      <w:pPr>
        <w:pStyle w:val="Default"/>
        <w:rPr>
          <w:sz w:val="22"/>
          <w:szCs w:val="22"/>
        </w:rPr>
      </w:pPr>
    </w:p>
    <w:p w14:paraId="4668139D" w14:textId="77777777" w:rsidR="00DC4465" w:rsidRDefault="00DC4465" w:rsidP="00DC4465">
      <w:pPr>
        <w:pStyle w:val="Default"/>
        <w:rPr>
          <w:sz w:val="22"/>
          <w:szCs w:val="22"/>
        </w:rPr>
      </w:pPr>
    </w:p>
    <w:p w14:paraId="6787A6A1" w14:textId="77777777" w:rsidR="00DC4465" w:rsidRPr="00DC4465" w:rsidRDefault="00DC4465" w:rsidP="00DC4465">
      <w:pPr>
        <w:pStyle w:val="Default"/>
        <w:jc w:val="center"/>
        <w:rPr>
          <w:rFonts w:ascii="Oswald" w:hAnsi="Oswald"/>
        </w:rPr>
      </w:pPr>
      <w:r w:rsidRPr="00DC4465">
        <w:rPr>
          <w:rFonts w:ascii="Oswald" w:hAnsi="Oswald"/>
        </w:rPr>
        <w:t xml:space="preserve">INDEPENDENT EVALUATION DEPARTMENT </w:t>
      </w:r>
    </w:p>
    <w:p w14:paraId="73769628" w14:textId="77777777" w:rsidR="00DC4465" w:rsidRPr="00DC4465" w:rsidRDefault="00DC4465" w:rsidP="00DC4465">
      <w:pPr>
        <w:pStyle w:val="Default"/>
        <w:jc w:val="center"/>
        <w:rPr>
          <w:rFonts w:ascii="Oswald" w:hAnsi="Oswald"/>
        </w:rPr>
      </w:pPr>
    </w:p>
    <w:p w14:paraId="5D8C78DC" w14:textId="78B7A1FE" w:rsidR="00DC4465" w:rsidRPr="00DC4465" w:rsidRDefault="00983CD5" w:rsidP="00DC4465">
      <w:pPr>
        <w:pStyle w:val="Default"/>
        <w:jc w:val="center"/>
        <w:rPr>
          <w:rFonts w:ascii="Oswald" w:hAnsi="Oswald"/>
        </w:rPr>
      </w:pPr>
      <w:r>
        <w:rPr>
          <w:rFonts w:ascii="Oswald" w:hAnsi="Oswald"/>
        </w:rPr>
        <w:t>AUGUST</w:t>
      </w:r>
      <w:r w:rsidR="00DC4465" w:rsidRPr="00450913">
        <w:rPr>
          <w:rFonts w:ascii="Oswald" w:hAnsi="Oswald"/>
        </w:rPr>
        <w:t xml:space="preserve"> 2025</w:t>
      </w:r>
    </w:p>
    <w:p w14:paraId="5A104CE6" w14:textId="77777777" w:rsidR="00DC4465" w:rsidRDefault="00DC4465" w:rsidP="00DC4465">
      <w:pPr>
        <w:pStyle w:val="Default"/>
        <w:jc w:val="center"/>
        <w:rPr>
          <w:sz w:val="23"/>
          <w:szCs w:val="23"/>
        </w:rPr>
      </w:pPr>
    </w:p>
    <w:p w14:paraId="279FB6D8" w14:textId="77777777" w:rsidR="00DC4465" w:rsidRDefault="00DC4465" w:rsidP="00DC4465">
      <w:pPr>
        <w:pStyle w:val="Default"/>
        <w:rPr>
          <w:sz w:val="22"/>
          <w:szCs w:val="22"/>
        </w:rPr>
      </w:pPr>
    </w:p>
    <w:p w14:paraId="7C89552F" w14:textId="77777777" w:rsidR="00DC4465" w:rsidRDefault="00DC4465" w:rsidP="00DC4465">
      <w:pPr>
        <w:pStyle w:val="Default"/>
        <w:rPr>
          <w:sz w:val="22"/>
          <w:szCs w:val="22"/>
        </w:rPr>
      </w:pPr>
    </w:p>
    <w:p w14:paraId="00DE39D2" w14:textId="77777777" w:rsidR="00DC4465" w:rsidRDefault="00DC4465" w:rsidP="00DC4465">
      <w:pPr>
        <w:pStyle w:val="Default"/>
        <w:rPr>
          <w:sz w:val="22"/>
          <w:szCs w:val="22"/>
        </w:rPr>
      </w:pPr>
    </w:p>
    <w:p w14:paraId="4E69ADE7" w14:textId="77777777" w:rsidR="00DC4465" w:rsidRDefault="00DC4465" w:rsidP="00DC4465">
      <w:pPr>
        <w:pStyle w:val="Default"/>
        <w:rPr>
          <w:sz w:val="22"/>
          <w:szCs w:val="22"/>
        </w:rPr>
      </w:pPr>
    </w:p>
    <w:p w14:paraId="01B75F4C" w14:textId="36AB462B" w:rsidR="00627709" w:rsidRPr="0058612B" w:rsidRDefault="006742BA" w:rsidP="00957354">
      <w:pPr>
        <w:pStyle w:val="Heading2"/>
        <w:numPr>
          <w:ilvl w:val="0"/>
          <w:numId w:val="4"/>
        </w:numPr>
      </w:pPr>
      <w:bookmarkStart w:id="1" w:name="_Toc203985424"/>
      <w:r w:rsidRPr="0058612B">
        <w:lastRenderedPageBreak/>
        <w:t>Background of the Hiring Department</w:t>
      </w:r>
      <w:bookmarkEnd w:id="1"/>
      <w:r w:rsidRPr="0058612B">
        <w:t xml:space="preserve"> </w:t>
      </w:r>
    </w:p>
    <w:p w14:paraId="4DFABE62" w14:textId="5C697651" w:rsidR="00A40B8D" w:rsidRPr="0058612B" w:rsidRDefault="007772F7" w:rsidP="00957354">
      <w:pPr>
        <w:pStyle w:val="Default"/>
        <w:numPr>
          <w:ilvl w:val="1"/>
          <w:numId w:val="4"/>
        </w:numPr>
        <w:spacing w:after="120"/>
        <w:ind w:left="0" w:firstLine="0"/>
        <w:jc w:val="both"/>
        <w:rPr>
          <w:rFonts w:ascii="Roboto Light" w:hAnsi="Roboto Light"/>
          <w:sz w:val="22"/>
          <w:szCs w:val="22"/>
        </w:rPr>
      </w:pPr>
      <w:r w:rsidRPr="007772F7">
        <w:rPr>
          <w:rFonts w:ascii="Roboto Light" w:hAnsi="Roboto Light"/>
          <w:sz w:val="22"/>
          <w:szCs w:val="22"/>
        </w:rPr>
        <w:t>The Independent Evaluation Department (</w:t>
      </w:r>
      <w:proofErr w:type="spellStart"/>
      <w:r w:rsidRPr="007772F7">
        <w:rPr>
          <w:rFonts w:ascii="Roboto Light" w:hAnsi="Roboto Light"/>
          <w:sz w:val="22"/>
          <w:szCs w:val="22"/>
        </w:rPr>
        <w:t>IEvD</w:t>
      </w:r>
      <w:proofErr w:type="spellEnd"/>
      <w:r w:rsidRPr="007772F7">
        <w:rPr>
          <w:rFonts w:ascii="Roboto Light" w:hAnsi="Roboto Light"/>
          <w:sz w:val="22"/>
          <w:szCs w:val="22"/>
        </w:rPr>
        <w:t xml:space="preserve">) undertakes both independent macro-level evaluation work (e.g., corporate, country, sector, thematic strategies, and process evaluations) and project-level evaluations covering both Member Countries </w:t>
      </w:r>
      <w:r w:rsidR="004001D3">
        <w:rPr>
          <w:rFonts w:ascii="Roboto Light" w:hAnsi="Roboto Light"/>
          <w:sz w:val="22"/>
          <w:szCs w:val="22"/>
        </w:rPr>
        <w:t xml:space="preserve">(MCs) </w:t>
      </w:r>
      <w:r w:rsidRPr="007772F7">
        <w:rPr>
          <w:rFonts w:ascii="Roboto Light" w:hAnsi="Roboto Light"/>
          <w:sz w:val="22"/>
          <w:szCs w:val="22"/>
        </w:rPr>
        <w:t xml:space="preserve">and operations funded by the Bank in Non-Member Countries. It undertakes thorough reviews and analyses to assess the developmental effectiveness of interventions by the Islamic Development Bank (IsDB) and </w:t>
      </w:r>
      <w:r w:rsidR="002A1AD4">
        <w:rPr>
          <w:rFonts w:ascii="Roboto Light" w:hAnsi="Roboto Light"/>
          <w:sz w:val="22"/>
          <w:szCs w:val="22"/>
        </w:rPr>
        <w:t>their</w:t>
      </w:r>
      <w:r w:rsidR="002A1AD4" w:rsidRPr="007772F7">
        <w:rPr>
          <w:rFonts w:ascii="Roboto Light" w:hAnsi="Roboto Light"/>
          <w:sz w:val="22"/>
          <w:szCs w:val="22"/>
        </w:rPr>
        <w:t xml:space="preserve"> </w:t>
      </w:r>
      <w:r w:rsidRPr="007772F7">
        <w:rPr>
          <w:rFonts w:ascii="Roboto Light" w:hAnsi="Roboto Light"/>
          <w:sz w:val="22"/>
          <w:szCs w:val="22"/>
        </w:rPr>
        <w:t xml:space="preserve">alignment </w:t>
      </w:r>
      <w:r w:rsidR="002A1AD4">
        <w:rPr>
          <w:rFonts w:ascii="Roboto Light" w:hAnsi="Roboto Light"/>
          <w:sz w:val="22"/>
          <w:szCs w:val="22"/>
        </w:rPr>
        <w:t>with</w:t>
      </w:r>
      <w:r w:rsidR="002A1AD4" w:rsidRPr="007772F7">
        <w:rPr>
          <w:rFonts w:ascii="Roboto Light" w:hAnsi="Roboto Light"/>
          <w:sz w:val="22"/>
          <w:szCs w:val="22"/>
        </w:rPr>
        <w:t xml:space="preserve"> </w:t>
      </w:r>
      <w:r w:rsidRPr="007772F7">
        <w:rPr>
          <w:rFonts w:ascii="Roboto Light" w:hAnsi="Roboto Light"/>
          <w:sz w:val="22"/>
          <w:szCs w:val="22"/>
        </w:rPr>
        <w:t xml:space="preserve">the Bank’s strategy. The Department draws lessons from evaluation studies and participates in the dissemination of knowledge within IsDB and in the MCs to contribute to the improvement of developmental effectiveness, ensuring that evaluation recommendations are </w:t>
      </w:r>
      <w:r w:rsidR="00450913" w:rsidRPr="007772F7">
        <w:rPr>
          <w:rFonts w:ascii="Roboto Light" w:hAnsi="Roboto Light"/>
          <w:sz w:val="22"/>
          <w:szCs w:val="22"/>
        </w:rPr>
        <w:t>considered</w:t>
      </w:r>
      <w:r w:rsidRPr="007772F7">
        <w:rPr>
          <w:rFonts w:ascii="Roboto Light" w:hAnsi="Roboto Light"/>
          <w:sz w:val="22"/>
          <w:szCs w:val="22"/>
        </w:rPr>
        <w:t xml:space="preserve"> in the IsDB’s policies, strategies, and operations</w:t>
      </w:r>
      <w:r w:rsidR="009A10D2">
        <w:rPr>
          <w:rFonts w:ascii="Roboto Light" w:hAnsi="Roboto Light"/>
          <w:sz w:val="22"/>
          <w:szCs w:val="22"/>
        </w:rPr>
        <w:t>.</w:t>
      </w:r>
      <w:r w:rsidR="00675D79" w:rsidRPr="0058612B">
        <w:rPr>
          <w:rFonts w:ascii="Roboto Light" w:hAnsi="Roboto Light"/>
          <w:sz w:val="22"/>
          <w:szCs w:val="22"/>
        </w:rPr>
        <w:t xml:space="preserve"> </w:t>
      </w:r>
      <w:r w:rsidR="00A40B8D" w:rsidRPr="0058612B">
        <w:rPr>
          <w:rFonts w:ascii="Roboto Light" w:hAnsi="Roboto Light"/>
          <w:sz w:val="22"/>
          <w:szCs w:val="22"/>
        </w:rPr>
        <w:t xml:space="preserve"> </w:t>
      </w:r>
    </w:p>
    <w:p w14:paraId="7A8CE669" w14:textId="4E0D5300" w:rsidR="006363FD" w:rsidRPr="000B33F6" w:rsidRDefault="005F1A26" w:rsidP="00957354">
      <w:pPr>
        <w:pStyle w:val="Default"/>
        <w:numPr>
          <w:ilvl w:val="1"/>
          <w:numId w:val="4"/>
        </w:numPr>
        <w:spacing w:after="120"/>
        <w:ind w:left="0" w:firstLine="0"/>
        <w:jc w:val="both"/>
        <w:rPr>
          <w:rFonts w:ascii="Roboto Light" w:hAnsi="Roboto Light"/>
          <w:sz w:val="22"/>
          <w:szCs w:val="22"/>
        </w:rPr>
      </w:pPr>
      <w:r w:rsidRPr="000B33F6">
        <w:rPr>
          <w:rFonts w:ascii="Roboto Light" w:hAnsi="Roboto Light"/>
          <w:sz w:val="22"/>
          <w:szCs w:val="22"/>
        </w:rPr>
        <w:t xml:space="preserve">As part of its 2025 work plan, the </w:t>
      </w:r>
      <w:proofErr w:type="spellStart"/>
      <w:r w:rsidRPr="000B33F6">
        <w:rPr>
          <w:rFonts w:ascii="Roboto Light" w:hAnsi="Roboto Light"/>
          <w:sz w:val="22"/>
          <w:szCs w:val="22"/>
        </w:rPr>
        <w:t>IEvD</w:t>
      </w:r>
      <w:proofErr w:type="spellEnd"/>
      <w:r w:rsidRPr="000B33F6">
        <w:rPr>
          <w:rFonts w:ascii="Roboto Light" w:hAnsi="Roboto Light"/>
          <w:sz w:val="22"/>
          <w:szCs w:val="22"/>
        </w:rPr>
        <w:t xml:space="preserve"> </w:t>
      </w:r>
      <w:r w:rsidR="00682C96" w:rsidRPr="000B33F6">
        <w:rPr>
          <w:rFonts w:ascii="Roboto Light" w:hAnsi="Roboto Light"/>
          <w:sz w:val="22"/>
          <w:szCs w:val="22"/>
        </w:rPr>
        <w:t>will undertake a comprehensive evaluation of IsDB’s health sector interventions implemented between 2015 and 2024</w:t>
      </w:r>
      <w:r w:rsidR="00635B07" w:rsidRPr="000B33F6">
        <w:rPr>
          <w:rFonts w:ascii="Roboto Light" w:hAnsi="Roboto Light"/>
          <w:sz w:val="22"/>
          <w:szCs w:val="22"/>
        </w:rPr>
        <w:t xml:space="preserve">, with </w:t>
      </w:r>
      <w:r w:rsidR="00B30AAF" w:rsidRPr="000B33F6">
        <w:rPr>
          <w:rFonts w:ascii="Roboto Light" w:hAnsi="Roboto Light"/>
          <w:sz w:val="22"/>
          <w:szCs w:val="22"/>
        </w:rPr>
        <w:t>a</w:t>
      </w:r>
      <w:r w:rsidR="00635B07" w:rsidRPr="000B33F6">
        <w:rPr>
          <w:rFonts w:ascii="Roboto Light" w:hAnsi="Roboto Light"/>
          <w:sz w:val="22"/>
          <w:szCs w:val="22"/>
        </w:rPr>
        <w:t xml:space="preserve"> view </w:t>
      </w:r>
      <w:r w:rsidR="00FA4912" w:rsidRPr="000B33F6">
        <w:rPr>
          <w:rFonts w:ascii="Roboto Light" w:hAnsi="Roboto Light"/>
          <w:sz w:val="22"/>
          <w:szCs w:val="22"/>
        </w:rPr>
        <w:t>to</w:t>
      </w:r>
      <w:r w:rsidR="00635B07" w:rsidRPr="000B33F6">
        <w:rPr>
          <w:rFonts w:ascii="Roboto Light" w:hAnsi="Roboto Light"/>
          <w:sz w:val="22"/>
          <w:szCs w:val="22"/>
        </w:rPr>
        <w:t xml:space="preserve"> analyzing</w:t>
      </w:r>
      <w:r w:rsidR="00682C96" w:rsidRPr="000B33F6">
        <w:rPr>
          <w:rFonts w:ascii="Roboto Light" w:hAnsi="Roboto Light"/>
          <w:sz w:val="22"/>
          <w:szCs w:val="22"/>
        </w:rPr>
        <w:t xml:space="preserve"> the robustness of the IsDB Health Sector Policy</w:t>
      </w:r>
      <w:r w:rsidR="00977EDD" w:rsidRPr="000B33F6">
        <w:rPr>
          <w:rFonts w:ascii="Roboto Light" w:hAnsi="Roboto Light"/>
          <w:sz w:val="22"/>
          <w:szCs w:val="22"/>
        </w:rPr>
        <w:t xml:space="preserve"> and Strategy</w:t>
      </w:r>
      <w:r w:rsidR="00682C96" w:rsidRPr="000B33F6">
        <w:rPr>
          <w:rFonts w:ascii="Roboto Light" w:hAnsi="Roboto Light"/>
          <w:sz w:val="22"/>
          <w:szCs w:val="22"/>
        </w:rPr>
        <w:t>, examine the extent to which health projects and programs have adhered to this policy</w:t>
      </w:r>
      <w:r w:rsidR="00F36455" w:rsidRPr="000B33F6">
        <w:rPr>
          <w:rFonts w:ascii="Roboto Light" w:hAnsi="Roboto Light"/>
          <w:sz w:val="22"/>
          <w:szCs w:val="22"/>
        </w:rPr>
        <w:t xml:space="preserve"> and strategy</w:t>
      </w:r>
      <w:r w:rsidR="00682C96" w:rsidRPr="000B33F6">
        <w:rPr>
          <w:rFonts w:ascii="Roboto Light" w:hAnsi="Roboto Light"/>
          <w:sz w:val="22"/>
          <w:szCs w:val="22"/>
        </w:rPr>
        <w:t xml:space="preserve">, and evaluate the effectiveness and efficiency of their implementation. It will also assess the </w:t>
      </w:r>
      <w:r w:rsidR="00450913" w:rsidRPr="000B33F6">
        <w:rPr>
          <w:rFonts w:ascii="Roboto Light" w:hAnsi="Roboto Light"/>
          <w:sz w:val="22"/>
          <w:szCs w:val="22"/>
        </w:rPr>
        <w:t>quality-of-service</w:t>
      </w:r>
      <w:r w:rsidR="00682C96" w:rsidRPr="000B33F6">
        <w:rPr>
          <w:rFonts w:ascii="Roboto Light" w:hAnsi="Roboto Light"/>
          <w:sz w:val="22"/>
          <w:szCs w:val="22"/>
        </w:rPr>
        <w:t xml:space="preserve"> delivery, the achievement of intended outcomes relative to initial targets, and the sustainability of the results achieved.</w:t>
      </w:r>
    </w:p>
    <w:p w14:paraId="7EA8BE75" w14:textId="4306C10C" w:rsidR="00627709" w:rsidRPr="0058612B" w:rsidRDefault="00C47426" w:rsidP="00957354">
      <w:pPr>
        <w:pStyle w:val="Heading2"/>
        <w:numPr>
          <w:ilvl w:val="0"/>
          <w:numId w:val="4"/>
        </w:numPr>
      </w:pPr>
      <w:bookmarkStart w:id="2" w:name="_Toc203985426"/>
      <w:r w:rsidRPr="0058612B">
        <w:t xml:space="preserve">Overview </w:t>
      </w:r>
      <w:r w:rsidR="0058612B">
        <w:t>o</w:t>
      </w:r>
      <w:r w:rsidRPr="0058612B">
        <w:t xml:space="preserve">f </w:t>
      </w:r>
      <w:r w:rsidR="000B2B8E">
        <w:t xml:space="preserve">the </w:t>
      </w:r>
      <w:r w:rsidRPr="0058612B">
        <w:t xml:space="preserve">Health Sector </w:t>
      </w:r>
      <w:r w:rsidR="0058612B">
        <w:t>i</w:t>
      </w:r>
      <w:r w:rsidRPr="0058612B">
        <w:t>n IsDB Member Countries</w:t>
      </w:r>
      <w:bookmarkEnd w:id="2"/>
      <w:r w:rsidRPr="0058612B">
        <w:t xml:space="preserve"> </w:t>
      </w:r>
    </w:p>
    <w:p w14:paraId="0CE49627" w14:textId="477EA5B8" w:rsidR="00AE1C1D" w:rsidRPr="00AE1C1D" w:rsidRDefault="00935B1F" w:rsidP="00957354">
      <w:pPr>
        <w:pStyle w:val="Default"/>
        <w:numPr>
          <w:ilvl w:val="1"/>
          <w:numId w:val="4"/>
        </w:numPr>
        <w:spacing w:after="120"/>
        <w:ind w:left="0" w:firstLine="0"/>
        <w:jc w:val="both"/>
        <w:rPr>
          <w:rFonts w:ascii="Roboto Light" w:hAnsi="Roboto Light"/>
          <w:sz w:val="22"/>
          <w:szCs w:val="22"/>
        </w:rPr>
      </w:pPr>
      <w:r w:rsidRPr="00AE1C1D">
        <w:rPr>
          <w:rFonts w:ascii="Roboto Light" w:hAnsi="Roboto Light"/>
          <w:sz w:val="22"/>
          <w:szCs w:val="22"/>
        </w:rPr>
        <w:t xml:space="preserve">Health is </w:t>
      </w:r>
      <w:r w:rsidR="00282686" w:rsidRPr="00AE1C1D">
        <w:rPr>
          <w:rFonts w:ascii="Roboto Light" w:hAnsi="Roboto Light"/>
          <w:sz w:val="22"/>
          <w:szCs w:val="22"/>
        </w:rPr>
        <w:t>a fundamental pillar of human capital and a key driver of economic growth and sustainable development. As both an outcome and an enabler, health</w:t>
      </w:r>
      <w:r w:rsidR="00977EDD" w:rsidRPr="00AE1C1D">
        <w:rPr>
          <w:rFonts w:ascii="Roboto Light" w:hAnsi="Roboto Light"/>
          <w:sz w:val="22"/>
          <w:szCs w:val="22"/>
        </w:rPr>
        <w:t xml:space="preserve">, </w:t>
      </w:r>
      <w:r w:rsidR="00282686" w:rsidRPr="00AE1C1D">
        <w:rPr>
          <w:rFonts w:ascii="Roboto Light" w:hAnsi="Roboto Light"/>
          <w:sz w:val="22"/>
          <w:szCs w:val="22"/>
        </w:rPr>
        <w:t>together with education</w:t>
      </w:r>
      <w:r w:rsidR="00977EDD" w:rsidRPr="00AE1C1D">
        <w:rPr>
          <w:rFonts w:ascii="Roboto Light" w:hAnsi="Roboto Light"/>
          <w:sz w:val="22"/>
          <w:szCs w:val="22"/>
        </w:rPr>
        <w:t xml:space="preserve">, </w:t>
      </w:r>
      <w:r w:rsidR="00282686" w:rsidRPr="00AE1C1D">
        <w:rPr>
          <w:rFonts w:ascii="Roboto Light" w:hAnsi="Roboto Light"/>
          <w:sz w:val="22"/>
          <w:szCs w:val="22"/>
        </w:rPr>
        <w:t xml:space="preserve">enhances individual capabilities, fosters productivity, supports employment, and promotes social advancement. A healthy population is essential for sustaining development, as it enables societies to respond to challenges with resilience, innovation, and adaptive capacity. </w:t>
      </w:r>
      <w:r w:rsidR="006F06ED" w:rsidRPr="00AE1C1D">
        <w:rPr>
          <w:rFonts w:ascii="Roboto Light" w:hAnsi="Roboto Light"/>
          <w:sz w:val="22"/>
          <w:szCs w:val="22"/>
        </w:rPr>
        <w:t>Considering the vital role of health in achieving sustainable development, countries must adopt and implement effective policies, strategies, programs, and projects to build a strong health system that ensures the population’s health security</w:t>
      </w:r>
      <w:r w:rsidR="006B4D36" w:rsidRPr="00AE1C1D">
        <w:rPr>
          <w:rFonts w:ascii="Roboto Light" w:hAnsi="Roboto Light"/>
          <w:sz w:val="22"/>
          <w:szCs w:val="22"/>
        </w:rPr>
        <w:t xml:space="preserve">. </w:t>
      </w:r>
    </w:p>
    <w:p w14:paraId="4CCD4F3B" w14:textId="0B9276CF" w:rsidR="00D25427" w:rsidRPr="0058612B" w:rsidRDefault="006B4D36" w:rsidP="00957354">
      <w:pPr>
        <w:pStyle w:val="Default"/>
        <w:numPr>
          <w:ilvl w:val="1"/>
          <w:numId w:val="4"/>
        </w:numPr>
        <w:spacing w:after="120"/>
        <w:ind w:left="0" w:firstLine="0"/>
        <w:jc w:val="both"/>
        <w:rPr>
          <w:rFonts w:ascii="Roboto Light" w:hAnsi="Roboto Light"/>
          <w:sz w:val="22"/>
          <w:szCs w:val="22"/>
        </w:rPr>
      </w:pPr>
      <w:r w:rsidRPr="0058612B">
        <w:rPr>
          <w:rFonts w:ascii="Roboto Light" w:hAnsi="Roboto Light"/>
          <w:sz w:val="22"/>
          <w:szCs w:val="22"/>
        </w:rPr>
        <w:t>Globally, four dimensions of health preparedness are used to measure and analyze the health standard of countries. These are health capacity, health investment, health outcome, and government effectiveness. These dimensions are interrelated in the sense that health outcome could depend on health capacity, and health capacity depends on health investment and government effectiveness. A combined analysis of these four dimensions creates a composite index that reflects the sum of the overall achievement (robustness) of the health sector in the countries.</w:t>
      </w:r>
    </w:p>
    <w:p w14:paraId="44DD0187" w14:textId="59A8374C" w:rsidR="006A2B09" w:rsidRDefault="006A2B09" w:rsidP="00957354">
      <w:pPr>
        <w:pStyle w:val="Default"/>
        <w:numPr>
          <w:ilvl w:val="1"/>
          <w:numId w:val="4"/>
        </w:numPr>
        <w:spacing w:after="120"/>
        <w:ind w:left="0" w:firstLine="0"/>
        <w:jc w:val="both"/>
        <w:rPr>
          <w:rFonts w:ascii="Roboto Light" w:hAnsi="Roboto Light"/>
          <w:sz w:val="22"/>
          <w:szCs w:val="22"/>
        </w:rPr>
      </w:pPr>
      <w:r w:rsidRPr="00EC12ED">
        <w:rPr>
          <w:rFonts w:ascii="Roboto Light" w:hAnsi="Roboto Light"/>
          <w:sz w:val="22"/>
          <w:szCs w:val="22"/>
        </w:rPr>
        <w:t xml:space="preserve">Healthcare, as a public good, requires strong governance and substantial public investment to be effective. However, IsDB </w:t>
      </w:r>
      <w:r w:rsidR="004001D3">
        <w:rPr>
          <w:rFonts w:ascii="Roboto Light" w:hAnsi="Roboto Light"/>
          <w:sz w:val="22"/>
          <w:szCs w:val="22"/>
        </w:rPr>
        <w:t>MCs</w:t>
      </w:r>
      <w:r w:rsidRPr="00EC12ED">
        <w:rPr>
          <w:rFonts w:ascii="Roboto Light" w:hAnsi="Roboto Light"/>
          <w:sz w:val="22"/>
          <w:szCs w:val="22"/>
        </w:rPr>
        <w:t xml:space="preserve"> lag significantly behind global standards in key health indicators. Their average government health expenditure is only 2.6% of GDP, far below the WHO-recommended 5% and the global average of 6.5%, reflecting limited prioritization of health. Government effectiveness is also low, with an average percentile rank of 32.3 compared to 48.1 globally. These deficiencies contribute to weak health capacity and preparedness, as shown by low scores on the Global Health Security Index and </w:t>
      </w:r>
      <w:r w:rsidR="00B3713E" w:rsidRPr="00450913">
        <w:rPr>
          <w:rFonts w:ascii="Roboto Light" w:hAnsi="Roboto Light"/>
          <w:sz w:val="22"/>
          <w:szCs w:val="22"/>
        </w:rPr>
        <w:t>Sustainable Development Goals</w:t>
      </w:r>
      <w:r w:rsidR="00204BDD">
        <w:rPr>
          <w:rFonts w:ascii="Roboto Light" w:hAnsi="Roboto Light"/>
          <w:sz w:val="22"/>
          <w:szCs w:val="22"/>
        </w:rPr>
        <w:t xml:space="preserve"> (</w:t>
      </w:r>
      <w:r w:rsidRPr="00EC12ED">
        <w:rPr>
          <w:rFonts w:ascii="Roboto Light" w:hAnsi="Roboto Light"/>
          <w:sz w:val="22"/>
          <w:szCs w:val="22"/>
        </w:rPr>
        <w:t>SDG</w:t>
      </w:r>
      <w:r w:rsidR="00204BDD">
        <w:rPr>
          <w:rFonts w:ascii="Roboto Light" w:hAnsi="Roboto Light"/>
          <w:sz w:val="22"/>
          <w:szCs w:val="22"/>
        </w:rPr>
        <w:t xml:space="preserve">) </w:t>
      </w:r>
      <w:r w:rsidRPr="00EC12ED">
        <w:rPr>
          <w:rFonts w:ascii="Roboto Light" w:hAnsi="Roboto Light"/>
          <w:sz w:val="22"/>
          <w:szCs w:val="22"/>
        </w:rPr>
        <w:t>3 achievement, highlighting the urgent need for improved investment and governance in the health sector.</w:t>
      </w:r>
    </w:p>
    <w:p w14:paraId="6F4C639D" w14:textId="33C2C80B" w:rsidR="006B4D36" w:rsidRPr="0058612B" w:rsidRDefault="006B4D36" w:rsidP="00957354">
      <w:pPr>
        <w:pStyle w:val="Default"/>
        <w:numPr>
          <w:ilvl w:val="1"/>
          <w:numId w:val="4"/>
        </w:numPr>
        <w:spacing w:after="120"/>
        <w:ind w:left="0" w:firstLine="0"/>
        <w:jc w:val="both"/>
        <w:rPr>
          <w:rFonts w:ascii="Roboto Light" w:hAnsi="Roboto Light"/>
          <w:sz w:val="22"/>
          <w:szCs w:val="22"/>
        </w:rPr>
      </w:pPr>
      <w:r w:rsidRPr="0058612B">
        <w:rPr>
          <w:rFonts w:ascii="Roboto Light" w:hAnsi="Roboto Light"/>
          <w:sz w:val="22"/>
          <w:szCs w:val="22"/>
        </w:rPr>
        <w:lastRenderedPageBreak/>
        <w:t>A</w:t>
      </w:r>
      <w:r w:rsidR="00C21FEF">
        <w:rPr>
          <w:rFonts w:ascii="Roboto Light" w:hAnsi="Roboto Light"/>
          <w:sz w:val="22"/>
          <w:szCs w:val="22"/>
        </w:rPr>
        <w:t xml:space="preserve">n IsDB report </w:t>
      </w:r>
      <w:r w:rsidR="00AA6E9C">
        <w:rPr>
          <w:rFonts w:ascii="Roboto Light" w:hAnsi="Roboto Light"/>
          <w:sz w:val="22"/>
          <w:szCs w:val="22"/>
        </w:rPr>
        <w:t>released in 2021</w:t>
      </w:r>
      <w:r w:rsidR="00AA6E9C" w:rsidRPr="00AA6E9C">
        <w:rPr>
          <w:rFonts w:ascii="Roboto Light" w:hAnsi="Roboto Light"/>
          <w:sz w:val="22"/>
          <w:szCs w:val="22"/>
          <w:vertAlign w:val="superscript"/>
        </w:rPr>
        <w:footnoteReference w:id="1"/>
      </w:r>
      <w:r w:rsidR="00AA6E9C" w:rsidRPr="00AA6E9C">
        <w:rPr>
          <w:rFonts w:ascii="Roboto Light" w:hAnsi="Roboto Light"/>
          <w:sz w:val="22"/>
          <w:szCs w:val="22"/>
          <w:vertAlign w:val="superscript"/>
        </w:rPr>
        <w:t xml:space="preserve"> </w:t>
      </w:r>
      <w:r w:rsidR="00AA6E9C">
        <w:rPr>
          <w:rFonts w:ascii="Roboto Light" w:hAnsi="Roboto Light"/>
          <w:sz w:val="22"/>
          <w:szCs w:val="22"/>
        </w:rPr>
        <w:t xml:space="preserve"> </w:t>
      </w:r>
      <w:r w:rsidRPr="0058612B">
        <w:rPr>
          <w:rFonts w:ascii="Roboto Light" w:hAnsi="Roboto Light"/>
          <w:sz w:val="22"/>
          <w:szCs w:val="22"/>
        </w:rPr>
        <w:t xml:space="preserve">analyzed health preparedness of IsDB </w:t>
      </w:r>
      <w:r w:rsidR="004001D3">
        <w:rPr>
          <w:rFonts w:ascii="Roboto Light" w:hAnsi="Roboto Light"/>
          <w:sz w:val="22"/>
          <w:szCs w:val="22"/>
        </w:rPr>
        <w:t>MCs</w:t>
      </w:r>
      <w:r w:rsidRPr="0058612B">
        <w:rPr>
          <w:rFonts w:ascii="Roboto Light" w:hAnsi="Roboto Light"/>
          <w:sz w:val="22"/>
          <w:szCs w:val="22"/>
        </w:rPr>
        <w:t xml:space="preserve"> based on the four dimensions. Accordingly, </w:t>
      </w:r>
      <w:r w:rsidR="00134DE7">
        <w:rPr>
          <w:rFonts w:ascii="Roboto Light" w:hAnsi="Roboto Light"/>
          <w:sz w:val="22"/>
          <w:szCs w:val="22"/>
        </w:rPr>
        <w:t xml:space="preserve">it ranked the top </w:t>
      </w:r>
      <w:r w:rsidRPr="0058612B">
        <w:rPr>
          <w:rFonts w:ascii="Roboto Light" w:hAnsi="Roboto Light"/>
          <w:sz w:val="22"/>
          <w:szCs w:val="22"/>
        </w:rPr>
        <w:t>five MCs with the highest overall achievement or robustness in the health sector</w:t>
      </w:r>
      <w:r w:rsidR="00134DE7">
        <w:rPr>
          <w:rFonts w:ascii="Roboto Light" w:hAnsi="Roboto Light"/>
          <w:sz w:val="22"/>
          <w:szCs w:val="22"/>
        </w:rPr>
        <w:t xml:space="preserve"> which were</w:t>
      </w:r>
      <w:r w:rsidRPr="0058612B">
        <w:rPr>
          <w:rFonts w:ascii="Roboto Light" w:hAnsi="Roboto Light"/>
          <w:sz w:val="22"/>
          <w:szCs w:val="22"/>
        </w:rPr>
        <w:t xml:space="preserve"> UAE with overall score of 6.67 (or 83.38%), Qatar with 5.95 (74.42%), Saudi Arabia with 5.73 (71.68%), Malaysia with 5.71 (71.41%) and Maldives with 5.71 (71.32%). On the other hand, five MCs with the lowest overall health sector robustness are Yemen with 1.56 (19.48%), Nigeria with 1.16 (14.50%), Guinea-Bissau with 1.08 (13.45%), Chad with 0.54 (6.74%) and Somalia with 0.33 (4.12%). In all, 36 MCs achieved below 50% health sector robustness while 21 of them achieved 50% and above.</w:t>
      </w:r>
    </w:p>
    <w:p w14:paraId="232202D7" w14:textId="77777777" w:rsidR="00450913" w:rsidRDefault="006B4D36" w:rsidP="00957354">
      <w:pPr>
        <w:pStyle w:val="Default"/>
        <w:numPr>
          <w:ilvl w:val="1"/>
          <w:numId w:val="4"/>
        </w:numPr>
        <w:spacing w:after="120"/>
        <w:ind w:left="0" w:firstLine="0"/>
        <w:jc w:val="both"/>
        <w:rPr>
          <w:rFonts w:ascii="Roboto Light" w:hAnsi="Roboto Light"/>
          <w:sz w:val="22"/>
          <w:szCs w:val="22"/>
        </w:rPr>
      </w:pPr>
      <w:r w:rsidRPr="0058612B">
        <w:rPr>
          <w:rFonts w:ascii="Roboto Light" w:hAnsi="Roboto Light"/>
          <w:sz w:val="22"/>
          <w:szCs w:val="22"/>
        </w:rPr>
        <w:t xml:space="preserve">The interrelatedness and varied efficiency effects of the dimensions </w:t>
      </w:r>
      <w:r w:rsidR="00450913" w:rsidRPr="0058612B">
        <w:rPr>
          <w:rFonts w:ascii="Roboto Light" w:hAnsi="Roboto Light"/>
          <w:sz w:val="22"/>
          <w:szCs w:val="22"/>
        </w:rPr>
        <w:t>connote</w:t>
      </w:r>
      <w:r w:rsidRPr="0058612B">
        <w:rPr>
          <w:rFonts w:ascii="Roboto Light" w:hAnsi="Roboto Light"/>
          <w:sz w:val="22"/>
          <w:szCs w:val="22"/>
        </w:rPr>
        <w:t xml:space="preserve"> that a country may have very high </w:t>
      </w:r>
      <w:r w:rsidR="00282686" w:rsidRPr="0058612B">
        <w:rPr>
          <w:rFonts w:ascii="Roboto Light" w:hAnsi="Roboto Light"/>
          <w:sz w:val="22"/>
          <w:szCs w:val="22"/>
        </w:rPr>
        <w:t>scores</w:t>
      </w:r>
      <w:r w:rsidRPr="0058612B">
        <w:rPr>
          <w:rFonts w:ascii="Roboto Light" w:hAnsi="Roboto Light"/>
          <w:sz w:val="22"/>
          <w:szCs w:val="22"/>
        </w:rPr>
        <w:t xml:space="preserve"> in some dimensions but if combined with low scores in other more critical dimensions, achieve</w:t>
      </w:r>
      <w:r w:rsidR="002926EC">
        <w:rPr>
          <w:rFonts w:ascii="Roboto Light" w:hAnsi="Roboto Light"/>
          <w:sz w:val="22"/>
          <w:szCs w:val="22"/>
        </w:rPr>
        <w:t>s</w:t>
      </w:r>
      <w:r w:rsidRPr="0058612B">
        <w:rPr>
          <w:rFonts w:ascii="Roboto Light" w:hAnsi="Roboto Light"/>
          <w:sz w:val="22"/>
          <w:szCs w:val="22"/>
        </w:rPr>
        <w:t xml:space="preserve"> lower than expected overall robustness score. For instance, Maldives has the highest health investment score at</w:t>
      </w:r>
      <w:r w:rsidR="00A171B5">
        <w:rPr>
          <w:rFonts w:ascii="Roboto Light" w:hAnsi="Roboto Light"/>
          <w:sz w:val="22"/>
          <w:szCs w:val="22"/>
        </w:rPr>
        <w:t xml:space="preserve"> </w:t>
      </w:r>
      <w:r w:rsidRPr="0058612B">
        <w:rPr>
          <w:rFonts w:ascii="Roboto Light" w:hAnsi="Roboto Light"/>
          <w:sz w:val="22"/>
          <w:szCs w:val="22"/>
        </w:rPr>
        <w:t>1.99 but low government effectiveness and moderate health capacity, leading to a moderate health outcome of 1.84 out of 3, which translates into 61.3% and overall robustness score of 5.71 (71.32%). Conversely, the UAE and Qatar, with lower health investments than Maldives, but with a combination of strong government effectiveness and high health capacity leading to higher outcome manifesting into highest overall health sector robustness of 6.67 (83.38%) and 5.95 (74.42%) respectively. The analysis further revealed that 32 MCs are moderately prepared for health emergencies, while the other 25 MCs are least prepared.</w:t>
      </w:r>
    </w:p>
    <w:p w14:paraId="32C0026A" w14:textId="6F33264D" w:rsidR="00450913" w:rsidRDefault="00357E85" w:rsidP="00957354">
      <w:pPr>
        <w:pStyle w:val="Default"/>
        <w:numPr>
          <w:ilvl w:val="1"/>
          <w:numId w:val="4"/>
        </w:numPr>
        <w:spacing w:after="120"/>
        <w:ind w:left="0" w:firstLine="0"/>
        <w:jc w:val="both"/>
        <w:rPr>
          <w:rFonts w:ascii="Roboto Light" w:hAnsi="Roboto Light"/>
          <w:sz w:val="22"/>
          <w:szCs w:val="22"/>
        </w:rPr>
      </w:pPr>
      <w:r w:rsidRPr="00450913">
        <w:rPr>
          <w:rFonts w:ascii="Roboto Light" w:hAnsi="Roboto Light"/>
          <w:sz w:val="22"/>
          <w:szCs w:val="22"/>
        </w:rPr>
        <w:t xml:space="preserve">IsDB </w:t>
      </w:r>
      <w:r w:rsidR="004001D3">
        <w:rPr>
          <w:rFonts w:ascii="Roboto Light" w:hAnsi="Roboto Light"/>
          <w:sz w:val="22"/>
          <w:szCs w:val="22"/>
        </w:rPr>
        <w:t>MCs</w:t>
      </w:r>
      <w:r w:rsidR="00B3713E">
        <w:rPr>
          <w:rFonts w:ascii="Roboto Light" w:hAnsi="Roboto Light"/>
          <w:sz w:val="22"/>
          <w:szCs w:val="22"/>
        </w:rPr>
        <w:t xml:space="preserve"> face</w:t>
      </w:r>
      <w:r w:rsidRPr="00450913">
        <w:rPr>
          <w:rFonts w:ascii="Roboto Light" w:hAnsi="Roboto Light"/>
          <w:sz w:val="22"/>
          <w:szCs w:val="22"/>
        </w:rPr>
        <w:t xml:space="preserve"> significant health capacity and outcome challenges compared to global and </w:t>
      </w:r>
      <w:r w:rsidR="00282686" w:rsidRPr="00450913">
        <w:rPr>
          <w:rFonts w:ascii="Roboto Light" w:hAnsi="Roboto Light"/>
          <w:sz w:val="22"/>
          <w:szCs w:val="22"/>
        </w:rPr>
        <w:t>Emerging Markets and Developing Economies (</w:t>
      </w:r>
      <w:r w:rsidRPr="00450913">
        <w:rPr>
          <w:rFonts w:ascii="Roboto Light" w:hAnsi="Roboto Light"/>
          <w:sz w:val="22"/>
          <w:szCs w:val="22"/>
        </w:rPr>
        <w:t>EMDE</w:t>
      </w:r>
      <w:r w:rsidR="00282686" w:rsidRPr="00450913">
        <w:rPr>
          <w:rFonts w:ascii="Roboto Light" w:hAnsi="Roboto Light"/>
          <w:sz w:val="22"/>
          <w:szCs w:val="22"/>
        </w:rPr>
        <w:t>)</w:t>
      </w:r>
      <w:r w:rsidRPr="00450913">
        <w:rPr>
          <w:rFonts w:ascii="Roboto Light" w:hAnsi="Roboto Light"/>
          <w:sz w:val="22"/>
          <w:szCs w:val="22"/>
        </w:rPr>
        <w:t xml:space="preserve"> averages. Their average health capacity score is 35.16, below the world average of 40.2, with major weaknesses in disease prevention, reporting, and health system infrastructure. While a few countries like Malaysia and Indonesia show higher preparedness, many others</w:t>
      </w:r>
      <w:r w:rsidR="000B2B8E" w:rsidRPr="00450913">
        <w:rPr>
          <w:rFonts w:ascii="Roboto Light" w:hAnsi="Roboto Light"/>
          <w:sz w:val="22"/>
          <w:szCs w:val="22"/>
        </w:rPr>
        <w:t xml:space="preserve">, </w:t>
      </w:r>
      <w:r w:rsidRPr="00450913">
        <w:rPr>
          <w:rFonts w:ascii="Roboto Light" w:hAnsi="Roboto Light"/>
          <w:sz w:val="22"/>
          <w:szCs w:val="22"/>
        </w:rPr>
        <w:t>such as Somalia and Yemen</w:t>
      </w:r>
      <w:r w:rsidR="000B2B8E" w:rsidRPr="00450913">
        <w:rPr>
          <w:rFonts w:ascii="Roboto Light" w:hAnsi="Roboto Light"/>
          <w:sz w:val="22"/>
          <w:szCs w:val="22"/>
        </w:rPr>
        <w:t xml:space="preserve">, </w:t>
      </w:r>
      <w:r w:rsidRPr="00450913">
        <w:rPr>
          <w:rFonts w:ascii="Roboto Light" w:hAnsi="Roboto Light"/>
          <w:sz w:val="22"/>
          <w:szCs w:val="22"/>
        </w:rPr>
        <w:t xml:space="preserve">rank among the least prepared globally. </w:t>
      </w:r>
      <w:r w:rsidR="007F2A80" w:rsidRPr="00450913">
        <w:rPr>
          <w:rFonts w:ascii="Roboto Light" w:hAnsi="Roboto Light"/>
          <w:sz w:val="22"/>
          <w:szCs w:val="22"/>
        </w:rPr>
        <w:t xml:space="preserve">The IsDB MCs collectively exhibit the lowest average </w:t>
      </w:r>
      <w:r w:rsidR="007F2A80" w:rsidRPr="00450913">
        <w:rPr>
          <w:rFonts w:ascii="Roboto Light" w:eastAsia="Times New Roman" w:hAnsi="Roboto Light"/>
          <w:sz w:val="22"/>
          <w:szCs w:val="22"/>
        </w:rPr>
        <w:t>SDG 3 Index score</w:t>
      </w:r>
      <w:r w:rsidR="00B3713E">
        <w:rPr>
          <w:rFonts w:ascii="Roboto Light" w:eastAsia="Times New Roman" w:hAnsi="Roboto Light"/>
          <w:sz w:val="22"/>
          <w:szCs w:val="22"/>
        </w:rPr>
        <w:t xml:space="preserve">, </w:t>
      </w:r>
      <w:r w:rsidR="007F2A80" w:rsidRPr="00450913">
        <w:rPr>
          <w:rFonts w:ascii="Roboto Light" w:hAnsi="Roboto Light"/>
          <w:sz w:val="22"/>
          <w:szCs w:val="22"/>
        </w:rPr>
        <w:t xml:space="preserve">at </w:t>
      </w:r>
      <w:r w:rsidR="007F2A80" w:rsidRPr="00450913">
        <w:rPr>
          <w:rFonts w:ascii="Roboto Light" w:eastAsia="Times New Roman" w:hAnsi="Roboto Light"/>
          <w:sz w:val="22"/>
          <w:szCs w:val="22"/>
        </w:rPr>
        <w:t>56.72</w:t>
      </w:r>
      <w:r w:rsidR="00B3713E">
        <w:rPr>
          <w:rFonts w:ascii="Roboto Light" w:eastAsia="Times New Roman" w:hAnsi="Roboto Light"/>
          <w:sz w:val="22"/>
          <w:szCs w:val="22"/>
        </w:rPr>
        <w:t xml:space="preserve">, </w:t>
      </w:r>
      <w:r w:rsidR="007F2A80" w:rsidRPr="00450913">
        <w:rPr>
          <w:rFonts w:ascii="Roboto Light" w:hAnsi="Roboto Light"/>
          <w:sz w:val="22"/>
          <w:szCs w:val="22"/>
        </w:rPr>
        <w:t xml:space="preserve">underscoring considerable challenges in achieving health-related </w:t>
      </w:r>
      <w:r w:rsidR="00204BDD">
        <w:rPr>
          <w:rFonts w:ascii="Roboto Light" w:hAnsi="Roboto Light"/>
          <w:sz w:val="22"/>
          <w:szCs w:val="22"/>
        </w:rPr>
        <w:t>SDG</w:t>
      </w:r>
      <w:r w:rsidR="007F2A80" w:rsidRPr="00450913">
        <w:rPr>
          <w:rFonts w:ascii="Roboto Light" w:hAnsi="Roboto Light"/>
          <w:sz w:val="22"/>
          <w:szCs w:val="22"/>
        </w:rPr>
        <w:t xml:space="preserve">s. On average, IsDB MCs fall behind both global and EMDE benchmarks, with a </w:t>
      </w:r>
      <w:r w:rsidR="007F2A80" w:rsidRPr="00450913">
        <w:rPr>
          <w:rFonts w:ascii="Roboto Light" w:eastAsia="Times New Roman" w:hAnsi="Roboto Light"/>
          <w:sz w:val="22"/>
          <w:szCs w:val="22"/>
        </w:rPr>
        <w:t>life expectancy of 69.2 years</w:t>
      </w:r>
      <w:r w:rsidR="007F2A80" w:rsidRPr="00450913">
        <w:rPr>
          <w:rFonts w:ascii="Roboto Light" w:hAnsi="Roboto Light"/>
          <w:sz w:val="22"/>
          <w:szCs w:val="22"/>
        </w:rPr>
        <w:t xml:space="preserve">, a </w:t>
      </w:r>
      <w:r w:rsidR="007F2A80" w:rsidRPr="00450913">
        <w:rPr>
          <w:rFonts w:ascii="Roboto Light" w:eastAsia="Times New Roman" w:hAnsi="Roboto Light"/>
          <w:sz w:val="22"/>
          <w:szCs w:val="22"/>
        </w:rPr>
        <w:t>maternal mortality ratio of 265 per 100,000 live births</w:t>
      </w:r>
      <w:r w:rsidR="007F2A80" w:rsidRPr="00450913">
        <w:rPr>
          <w:rFonts w:ascii="Roboto Light" w:hAnsi="Roboto Light"/>
          <w:sz w:val="22"/>
          <w:szCs w:val="22"/>
        </w:rPr>
        <w:t xml:space="preserve">, an </w:t>
      </w:r>
      <w:r w:rsidR="007F2A80" w:rsidRPr="00450913">
        <w:rPr>
          <w:rFonts w:ascii="Roboto Light" w:eastAsia="Times New Roman" w:hAnsi="Roboto Light"/>
          <w:sz w:val="22"/>
          <w:szCs w:val="22"/>
        </w:rPr>
        <w:t>infant mortality rate of 32.7 per 1,000 live births</w:t>
      </w:r>
      <w:r w:rsidR="007F2A80" w:rsidRPr="00450913">
        <w:rPr>
          <w:rFonts w:ascii="Roboto Light" w:hAnsi="Roboto Light"/>
          <w:sz w:val="22"/>
          <w:szCs w:val="22"/>
        </w:rPr>
        <w:t xml:space="preserve">, and an </w:t>
      </w:r>
      <w:r w:rsidR="007F2A80" w:rsidRPr="00450913">
        <w:rPr>
          <w:rFonts w:ascii="Roboto Light" w:eastAsia="Times New Roman" w:hAnsi="Roboto Light"/>
          <w:sz w:val="22"/>
          <w:szCs w:val="22"/>
        </w:rPr>
        <w:t>under-five mortality rate of 44.3 per 1,000 live births</w:t>
      </w:r>
      <w:r w:rsidR="007F2A80" w:rsidRPr="00450913">
        <w:rPr>
          <w:rFonts w:ascii="Roboto Light" w:hAnsi="Roboto Light"/>
          <w:sz w:val="22"/>
          <w:szCs w:val="22"/>
        </w:rPr>
        <w:t xml:space="preserve">. These outcomes reflect the compounded effects of chronic underinvestment, weak health system capacity, and governance deficits in many member countries. </w:t>
      </w:r>
    </w:p>
    <w:p w14:paraId="29138E64" w14:textId="4B0C5259" w:rsidR="007F2A80" w:rsidRPr="00450913" w:rsidRDefault="007F2A80" w:rsidP="00957354">
      <w:pPr>
        <w:pStyle w:val="Default"/>
        <w:numPr>
          <w:ilvl w:val="1"/>
          <w:numId w:val="4"/>
        </w:numPr>
        <w:spacing w:after="120"/>
        <w:ind w:left="0" w:firstLine="0"/>
        <w:jc w:val="both"/>
        <w:rPr>
          <w:rFonts w:ascii="Roboto Light" w:hAnsi="Roboto Light"/>
          <w:sz w:val="22"/>
          <w:szCs w:val="22"/>
        </w:rPr>
      </w:pPr>
      <w:r w:rsidRPr="00450913">
        <w:rPr>
          <w:rFonts w:ascii="Roboto Light" w:hAnsi="Roboto Light"/>
          <w:sz w:val="22"/>
          <w:szCs w:val="22"/>
        </w:rPr>
        <w:t xml:space="preserve">However, these aggregate figures mask significant </w:t>
      </w:r>
      <w:r w:rsidRPr="00450913">
        <w:rPr>
          <w:rFonts w:ascii="Roboto Light" w:eastAsia="Times New Roman" w:hAnsi="Roboto Light"/>
          <w:sz w:val="22"/>
          <w:szCs w:val="22"/>
        </w:rPr>
        <w:t>heterogeneity across the IsDB membership</w:t>
      </w:r>
      <w:r w:rsidRPr="00450913">
        <w:rPr>
          <w:rFonts w:ascii="Roboto Light" w:hAnsi="Roboto Light"/>
          <w:sz w:val="22"/>
          <w:szCs w:val="22"/>
        </w:rPr>
        <w:t xml:space="preserve">. For example, </w:t>
      </w:r>
      <w:r w:rsidRPr="00450913">
        <w:rPr>
          <w:rFonts w:ascii="Roboto Light" w:eastAsia="Times New Roman" w:hAnsi="Roboto Light"/>
          <w:sz w:val="22"/>
          <w:szCs w:val="22"/>
        </w:rPr>
        <w:t>Malaysia</w:t>
      </w:r>
      <w:r w:rsidRPr="00450913">
        <w:rPr>
          <w:rFonts w:ascii="Roboto Light" w:hAnsi="Roboto Light"/>
          <w:sz w:val="22"/>
          <w:szCs w:val="22"/>
        </w:rPr>
        <w:t xml:space="preserve"> and </w:t>
      </w:r>
      <w:r w:rsidRPr="00450913">
        <w:rPr>
          <w:rFonts w:ascii="Roboto Light" w:eastAsia="Times New Roman" w:hAnsi="Roboto Light"/>
          <w:sz w:val="22"/>
          <w:szCs w:val="22"/>
        </w:rPr>
        <w:t>Turkey</w:t>
      </w:r>
      <w:r w:rsidRPr="00450913">
        <w:rPr>
          <w:rFonts w:ascii="Roboto Light" w:hAnsi="Roboto Light"/>
          <w:sz w:val="22"/>
          <w:szCs w:val="22"/>
        </w:rPr>
        <w:t xml:space="preserve"> report life expectancies exceeding 75 years and have made strong advances in universal health coverage, while countries such as </w:t>
      </w:r>
      <w:r w:rsidRPr="00450913">
        <w:rPr>
          <w:rFonts w:ascii="Roboto Light" w:eastAsia="Times New Roman" w:hAnsi="Roboto Light"/>
          <w:sz w:val="22"/>
          <w:szCs w:val="22"/>
        </w:rPr>
        <w:t>Chad</w:t>
      </w:r>
      <w:r w:rsidRPr="00450913">
        <w:rPr>
          <w:rFonts w:ascii="Roboto Light" w:hAnsi="Roboto Light"/>
          <w:sz w:val="22"/>
          <w:szCs w:val="22"/>
        </w:rPr>
        <w:t xml:space="preserve">, </w:t>
      </w:r>
      <w:r w:rsidRPr="00450913">
        <w:rPr>
          <w:rFonts w:ascii="Roboto Light" w:eastAsia="Times New Roman" w:hAnsi="Roboto Light"/>
          <w:sz w:val="22"/>
          <w:szCs w:val="22"/>
        </w:rPr>
        <w:t>Somalia</w:t>
      </w:r>
      <w:r w:rsidRPr="00450913">
        <w:rPr>
          <w:rFonts w:ascii="Roboto Light" w:hAnsi="Roboto Light"/>
          <w:sz w:val="22"/>
          <w:szCs w:val="22"/>
        </w:rPr>
        <w:t xml:space="preserve">, and </w:t>
      </w:r>
      <w:r w:rsidRPr="00450913">
        <w:rPr>
          <w:rFonts w:ascii="Roboto Light" w:eastAsia="Times New Roman" w:hAnsi="Roboto Light"/>
          <w:sz w:val="22"/>
          <w:szCs w:val="22"/>
        </w:rPr>
        <w:t>Afghanistan</w:t>
      </w:r>
      <w:r w:rsidRPr="00450913">
        <w:rPr>
          <w:rFonts w:ascii="Roboto Light" w:hAnsi="Roboto Light"/>
          <w:sz w:val="22"/>
          <w:szCs w:val="22"/>
        </w:rPr>
        <w:t xml:space="preserve"> continue to face critical health system fragility, with maternal mortality ratios exceeding 400 per 100,000 and life expectancy falling below 60 years. Similarly, while countries like </w:t>
      </w:r>
      <w:r w:rsidRPr="00450913">
        <w:rPr>
          <w:rFonts w:ascii="Roboto Light" w:eastAsia="Times New Roman" w:hAnsi="Roboto Light"/>
          <w:sz w:val="22"/>
          <w:szCs w:val="22"/>
        </w:rPr>
        <w:t>Jordan</w:t>
      </w:r>
      <w:r w:rsidRPr="00450913">
        <w:rPr>
          <w:rFonts w:ascii="Roboto Light" w:hAnsi="Roboto Light"/>
          <w:sz w:val="22"/>
          <w:szCs w:val="22"/>
        </w:rPr>
        <w:t xml:space="preserve"> and </w:t>
      </w:r>
      <w:r w:rsidRPr="00450913">
        <w:rPr>
          <w:rFonts w:ascii="Roboto Light" w:eastAsia="Times New Roman" w:hAnsi="Roboto Light"/>
          <w:sz w:val="22"/>
          <w:szCs w:val="22"/>
        </w:rPr>
        <w:t>Tunisia</w:t>
      </w:r>
      <w:r w:rsidRPr="00450913">
        <w:rPr>
          <w:rFonts w:ascii="Roboto Light" w:hAnsi="Roboto Light"/>
          <w:sz w:val="22"/>
          <w:szCs w:val="22"/>
        </w:rPr>
        <w:t xml:space="preserve"> have relatively low child mortality rates and robust primary healthcare systems, others such as </w:t>
      </w:r>
      <w:r w:rsidRPr="00450913">
        <w:rPr>
          <w:rFonts w:ascii="Roboto Light" w:eastAsia="Times New Roman" w:hAnsi="Roboto Light"/>
          <w:sz w:val="22"/>
          <w:szCs w:val="22"/>
        </w:rPr>
        <w:t>Niger</w:t>
      </w:r>
      <w:r w:rsidRPr="00450913">
        <w:rPr>
          <w:rFonts w:ascii="Roboto Light" w:hAnsi="Roboto Light"/>
          <w:sz w:val="22"/>
          <w:szCs w:val="22"/>
        </w:rPr>
        <w:t xml:space="preserve"> and </w:t>
      </w:r>
      <w:r w:rsidRPr="00450913">
        <w:rPr>
          <w:rFonts w:ascii="Roboto Light" w:eastAsia="Times New Roman" w:hAnsi="Roboto Light"/>
          <w:sz w:val="22"/>
          <w:szCs w:val="22"/>
        </w:rPr>
        <w:t>Sudan</w:t>
      </w:r>
      <w:r w:rsidRPr="00450913">
        <w:rPr>
          <w:rFonts w:ascii="Roboto Light" w:hAnsi="Roboto Light"/>
          <w:sz w:val="22"/>
          <w:szCs w:val="22"/>
        </w:rPr>
        <w:t xml:space="preserve"> still struggle with high infant and under-five mortality rates due to weak service delivery and limited access to essential care. Recognizing this diversity is essential for effective health sector support. Interventions must be </w:t>
      </w:r>
      <w:r w:rsidRPr="00450913">
        <w:rPr>
          <w:rFonts w:ascii="Roboto Light" w:eastAsia="Times New Roman" w:hAnsi="Roboto Light"/>
          <w:sz w:val="22"/>
          <w:szCs w:val="22"/>
        </w:rPr>
        <w:t>context-specific</w:t>
      </w:r>
      <w:r w:rsidRPr="00450913">
        <w:rPr>
          <w:rFonts w:ascii="Roboto Light" w:hAnsi="Roboto Light"/>
          <w:sz w:val="22"/>
          <w:szCs w:val="22"/>
        </w:rPr>
        <w:t xml:space="preserve">, considering </w:t>
      </w:r>
      <w:r w:rsidRPr="00450913">
        <w:rPr>
          <w:rFonts w:ascii="Roboto Light" w:hAnsi="Roboto Light"/>
          <w:sz w:val="22"/>
          <w:szCs w:val="22"/>
        </w:rPr>
        <w:lastRenderedPageBreak/>
        <w:t>the unique needs, capacities, and institutional realities of each country to equitable and sustainable health outcomes across the IsDB MCs.</w:t>
      </w:r>
    </w:p>
    <w:p w14:paraId="14BEC1FA" w14:textId="3468F409" w:rsidR="00627709" w:rsidRPr="007F2A80" w:rsidRDefault="006B4D36" w:rsidP="00957354">
      <w:pPr>
        <w:pStyle w:val="Default"/>
        <w:numPr>
          <w:ilvl w:val="1"/>
          <w:numId w:val="4"/>
        </w:numPr>
        <w:spacing w:after="120"/>
        <w:ind w:left="0" w:firstLine="0"/>
        <w:jc w:val="both"/>
        <w:rPr>
          <w:rFonts w:ascii="Roboto Light" w:hAnsi="Roboto Light"/>
          <w:sz w:val="22"/>
          <w:szCs w:val="22"/>
        </w:rPr>
      </w:pPr>
      <w:r w:rsidRPr="007F2A80">
        <w:rPr>
          <w:rFonts w:ascii="Roboto Light" w:hAnsi="Roboto Light"/>
          <w:sz w:val="22"/>
          <w:szCs w:val="22"/>
        </w:rPr>
        <w:t xml:space="preserve">Many MCs </w:t>
      </w:r>
      <w:r w:rsidR="00BA66D5" w:rsidRPr="007F2A80">
        <w:rPr>
          <w:rFonts w:ascii="Roboto Light" w:hAnsi="Roboto Light"/>
          <w:sz w:val="22"/>
          <w:szCs w:val="22"/>
        </w:rPr>
        <w:t>are struggling with</w:t>
      </w:r>
      <w:r w:rsidRPr="007F2A80">
        <w:rPr>
          <w:rFonts w:ascii="Roboto Light" w:hAnsi="Roboto Light"/>
          <w:sz w:val="22"/>
          <w:szCs w:val="22"/>
        </w:rPr>
        <w:t xml:space="preserve"> insufficient health systems in terms of physical infrastructure and human resources in preventing and reporting the emergence of pathogens as well as lacking the capability of detective and preventive measures. Therefore, a country could have high health spending with poor health outcomes if the spending neither translates to good health capacity nor is supported by effective governance. </w:t>
      </w:r>
    </w:p>
    <w:p w14:paraId="23488955" w14:textId="52D22E97" w:rsidR="00627709" w:rsidRPr="0058612B" w:rsidRDefault="00C47426" w:rsidP="00957354">
      <w:pPr>
        <w:pStyle w:val="Heading2"/>
        <w:numPr>
          <w:ilvl w:val="0"/>
          <w:numId w:val="4"/>
        </w:numPr>
      </w:pPr>
      <w:bookmarkStart w:id="3" w:name="_Toc203985427"/>
      <w:r w:rsidRPr="0058612B">
        <w:t xml:space="preserve">IsDB Interventions </w:t>
      </w:r>
      <w:r w:rsidR="0058612B">
        <w:t>i</w:t>
      </w:r>
      <w:r w:rsidRPr="0058612B">
        <w:t xml:space="preserve">n </w:t>
      </w:r>
      <w:r w:rsidR="0058612B">
        <w:t>t</w:t>
      </w:r>
      <w:r w:rsidRPr="0058612B">
        <w:t>he Health Sector</w:t>
      </w:r>
      <w:bookmarkEnd w:id="3"/>
      <w:r w:rsidRPr="0058612B">
        <w:t xml:space="preserve"> </w:t>
      </w:r>
    </w:p>
    <w:p w14:paraId="1AC452C0" w14:textId="273D8B22" w:rsidR="00D75D10" w:rsidRDefault="00552077" w:rsidP="00957354">
      <w:pPr>
        <w:pStyle w:val="Default"/>
        <w:numPr>
          <w:ilvl w:val="1"/>
          <w:numId w:val="4"/>
        </w:numPr>
        <w:spacing w:after="89" w:line="276" w:lineRule="auto"/>
        <w:ind w:left="0" w:firstLine="0"/>
        <w:jc w:val="both"/>
        <w:rPr>
          <w:rFonts w:ascii="Roboto Light" w:hAnsi="Roboto Light"/>
          <w:sz w:val="22"/>
          <w:szCs w:val="22"/>
        </w:rPr>
      </w:pPr>
      <w:r w:rsidRPr="0058612B">
        <w:rPr>
          <w:rFonts w:ascii="Roboto Light" w:hAnsi="Roboto Light"/>
          <w:sz w:val="22"/>
          <w:szCs w:val="22"/>
        </w:rPr>
        <w:t xml:space="preserve">In recognition of the crucial role of health as a key component of human capital in achieving sustainable development, which </w:t>
      </w:r>
      <w:r w:rsidR="00F6172D" w:rsidRPr="0058612B">
        <w:rPr>
          <w:rFonts w:ascii="Roboto Light" w:hAnsi="Roboto Light"/>
          <w:sz w:val="22"/>
          <w:szCs w:val="22"/>
        </w:rPr>
        <w:t>is in</w:t>
      </w:r>
      <w:r w:rsidRPr="0058612B">
        <w:rPr>
          <w:rFonts w:ascii="Roboto Light" w:hAnsi="Roboto Light"/>
          <w:sz w:val="22"/>
          <w:szCs w:val="22"/>
        </w:rPr>
        <w:t xml:space="preserve"> tandem with </w:t>
      </w:r>
      <w:r w:rsidR="00F6172D" w:rsidRPr="0058612B">
        <w:rPr>
          <w:rFonts w:ascii="Roboto Light" w:hAnsi="Roboto Light"/>
          <w:sz w:val="22"/>
          <w:szCs w:val="22"/>
        </w:rPr>
        <w:t>the</w:t>
      </w:r>
      <w:r w:rsidRPr="0058612B">
        <w:rPr>
          <w:rFonts w:ascii="Roboto Light" w:hAnsi="Roboto Light"/>
          <w:sz w:val="22"/>
          <w:szCs w:val="22"/>
        </w:rPr>
        <w:t xml:space="preserve"> </w:t>
      </w:r>
      <w:r w:rsidR="00935B1F" w:rsidRPr="0058612B">
        <w:rPr>
          <w:rFonts w:ascii="Roboto Light" w:hAnsi="Roboto Light"/>
          <w:sz w:val="22"/>
          <w:szCs w:val="22"/>
        </w:rPr>
        <w:t>key</w:t>
      </w:r>
      <w:r w:rsidRPr="0058612B">
        <w:rPr>
          <w:rFonts w:ascii="Roboto Light" w:hAnsi="Roboto Light"/>
          <w:sz w:val="22"/>
          <w:szCs w:val="22"/>
        </w:rPr>
        <w:t xml:space="preserve"> mandate of </w:t>
      </w:r>
      <w:r w:rsidR="00F6172D" w:rsidRPr="0058612B">
        <w:rPr>
          <w:rFonts w:ascii="Roboto Light" w:hAnsi="Roboto Light"/>
          <w:sz w:val="22"/>
          <w:szCs w:val="22"/>
        </w:rPr>
        <w:t xml:space="preserve">the IsDB in </w:t>
      </w:r>
      <w:r w:rsidRPr="0058612B">
        <w:rPr>
          <w:rFonts w:ascii="Roboto Light" w:hAnsi="Roboto Light"/>
          <w:sz w:val="22"/>
          <w:szCs w:val="22"/>
        </w:rPr>
        <w:t xml:space="preserve">supporting social and economic development in member countries, the IsDB has accorded high priority to the health sector. Since inception, the IsDB cumulative </w:t>
      </w:r>
      <w:r w:rsidR="004E7671" w:rsidRPr="0058612B">
        <w:rPr>
          <w:rFonts w:ascii="Roboto Light" w:hAnsi="Roboto Light"/>
          <w:sz w:val="22"/>
          <w:szCs w:val="22"/>
        </w:rPr>
        <w:t xml:space="preserve">approvals for </w:t>
      </w:r>
      <w:r w:rsidR="00F6172D" w:rsidRPr="0058612B">
        <w:rPr>
          <w:rFonts w:ascii="Roboto Light" w:hAnsi="Roboto Light"/>
          <w:sz w:val="22"/>
          <w:szCs w:val="22"/>
        </w:rPr>
        <w:t>financing</w:t>
      </w:r>
      <w:r w:rsidRPr="0058612B">
        <w:rPr>
          <w:rFonts w:ascii="Roboto Light" w:hAnsi="Roboto Light"/>
          <w:sz w:val="22"/>
          <w:szCs w:val="22"/>
        </w:rPr>
        <w:t xml:space="preserve"> health projects in member </w:t>
      </w:r>
      <w:r w:rsidR="00F6172D" w:rsidRPr="0058612B">
        <w:rPr>
          <w:rFonts w:ascii="Roboto Light" w:hAnsi="Roboto Light"/>
          <w:sz w:val="22"/>
          <w:szCs w:val="22"/>
        </w:rPr>
        <w:t>countries from</w:t>
      </w:r>
      <w:r w:rsidRPr="0058612B">
        <w:rPr>
          <w:rFonts w:ascii="Roboto Light" w:hAnsi="Roboto Light"/>
          <w:sz w:val="22"/>
          <w:szCs w:val="22"/>
        </w:rPr>
        <w:t xml:space="preserve"> its Ordinary Capital Resource (OCR)</w:t>
      </w:r>
      <w:r w:rsidR="004E7671" w:rsidRPr="0058612B">
        <w:rPr>
          <w:rFonts w:ascii="Roboto Light" w:hAnsi="Roboto Light"/>
          <w:sz w:val="22"/>
          <w:szCs w:val="22"/>
        </w:rPr>
        <w:t xml:space="preserve"> </w:t>
      </w:r>
      <w:r w:rsidR="00F6172D" w:rsidRPr="0058612B">
        <w:rPr>
          <w:rFonts w:ascii="Roboto Light" w:hAnsi="Roboto Light"/>
          <w:sz w:val="22"/>
          <w:szCs w:val="22"/>
        </w:rPr>
        <w:t>have</w:t>
      </w:r>
      <w:r w:rsidR="004E7671" w:rsidRPr="0058612B">
        <w:rPr>
          <w:rFonts w:ascii="Roboto Light" w:hAnsi="Roboto Light"/>
          <w:sz w:val="22"/>
          <w:szCs w:val="22"/>
        </w:rPr>
        <w:t xml:space="preserve"> reached US</w:t>
      </w:r>
      <w:r w:rsidR="00935B1F">
        <w:rPr>
          <w:rFonts w:ascii="Roboto Light" w:hAnsi="Roboto Light"/>
          <w:sz w:val="22"/>
          <w:szCs w:val="22"/>
        </w:rPr>
        <w:t xml:space="preserve">D </w:t>
      </w:r>
      <w:r w:rsidR="004E7671" w:rsidRPr="0058612B">
        <w:rPr>
          <w:rFonts w:ascii="Roboto Light" w:hAnsi="Roboto Light"/>
          <w:sz w:val="22"/>
          <w:szCs w:val="22"/>
        </w:rPr>
        <w:t xml:space="preserve">6.4 billion out of total </w:t>
      </w:r>
      <w:r w:rsidR="00F6172D" w:rsidRPr="0058612B">
        <w:rPr>
          <w:rFonts w:ascii="Roboto Light" w:hAnsi="Roboto Light"/>
          <w:sz w:val="22"/>
          <w:szCs w:val="22"/>
        </w:rPr>
        <w:t>approvals of US</w:t>
      </w:r>
      <w:r w:rsidR="00935B1F">
        <w:rPr>
          <w:rFonts w:ascii="Roboto Light" w:hAnsi="Roboto Light"/>
          <w:sz w:val="22"/>
          <w:szCs w:val="22"/>
        </w:rPr>
        <w:t xml:space="preserve">D </w:t>
      </w:r>
      <w:r w:rsidR="00F6172D" w:rsidRPr="0058612B">
        <w:rPr>
          <w:rFonts w:ascii="Roboto Light" w:hAnsi="Roboto Light"/>
          <w:sz w:val="22"/>
          <w:szCs w:val="22"/>
        </w:rPr>
        <w:t xml:space="preserve">64.9 billion (see chart 1). The cumulative approvals for health sector projects </w:t>
      </w:r>
      <w:r w:rsidR="0028224B" w:rsidRPr="0058612B">
        <w:rPr>
          <w:rFonts w:ascii="Roboto Light" w:hAnsi="Roboto Light"/>
          <w:sz w:val="22"/>
          <w:szCs w:val="22"/>
        </w:rPr>
        <w:t>are</w:t>
      </w:r>
      <w:r w:rsidR="00F6172D" w:rsidRPr="0058612B">
        <w:rPr>
          <w:rFonts w:ascii="Roboto Light" w:hAnsi="Roboto Light"/>
          <w:sz w:val="22"/>
          <w:szCs w:val="22"/>
        </w:rPr>
        <w:t xml:space="preserve"> about 9.9% of total cumulative approvals and </w:t>
      </w:r>
      <w:r w:rsidR="004F6981" w:rsidRPr="0058612B">
        <w:rPr>
          <w:rFonts w:ascii="Roboto Light" w:hAnsi="Roboto Light"/>
          <w:sz w:val="22"/>
          <w:szCs w:val="22"/>
        </w:rPr>
        <w:t>are</w:t>
      </w:r>
      <w:r w:rsidR="00F6172D" w:rsidRPr="0058612B">
        <w:rPr>
          <w:rFonts w:ascii="Roboto Light" w:hAnsi="Roboto Light"/>
          <w:sz w:val="22"/>
          <w:szCs w:val="22"/>
        </w:rPr>
        <w:t xml:space="preserve"> the fifth largest after transportation with US</w:t>
      </w:r>
      <w:r w:rsidR="004C210C">
        <w:rPr>
          <w:rFonts w:ascii="Roboto Light" w:hAnsi="Roboto Light"/>
          <w:sz w:val="22"/>
          <w:szCs w:val="22"/>
        </w:rPr>
        <w:t xml:space="preserve">D </w:t>
      </w:r>
      <w:r w:rsidR="00F6172D" w:rsidRPr="0058612B">
        <w:rPr>
          <w:rFonts w:ascii="Roboto Light" w:hAnsi="Roboto Light"/>
          <w:sz w:val="22"/>
          <w:szCs w:val="22"/>
        </w:rPr>
        <w:t>15.9 billion (24</w:t>
      </w:r>
      <w:r w:rsidR="000D7BF1" w:rsidRPr="0058612B">
        <w:rPr>
          <w:rFonts w:ascii="Roboto Light" w:hAnsi="Roboto Light"/>
          <w:sz w:val="22"/>
          <w:szCs w:val="22"/>
        </w:rPr>
        <w:t>.5</w:t>
      </w:r>
      <w:r w:rsidR="00F6172D" w:rsidRPr="0058612B">
        <w:rPr>
          <w:rFonts w:ascii="Roboto Light" w:hAnsi="Roboto Light"/>
          <w:sz w:val="22"/>
          <w:szCs w:val="22"/>
        </w:rPr>
        <w:t>%)</w:t>
      </w:r>
      <w:r w:rsidR="000D7BF1" w:rsidRPr="0058612B">
        <w:rPr>
          <w:rFonts w:ascii="Roboto Light" w:hAnsi="Roboto Light"/>
          <w:sz w:val="22"/>
          <w:szCs w:val="22"/>
        </w:rPr>
        <w:t>, energy with US</w:t>
      </w:r>
      <w:r w:rsidR="004C210C">
        <w:rPr>
          <w:rFonts w:ascii="Roboto Light" w:hAnsi="Roboto Light"/>
          <w:sz w:val="22"/>
          <w:szCs w:val="22"/>
        </w:rPr>
        <w:t xml:space="preserve">D </w:t>
      </w:r>
      <w:r w:rsidR="000D7BF1" w:rsidRPr="0058612B">
        <w:rPr>
          <w:rFonts w:ascii="Roboto Light" w:hAnsi="Roboto Light"/>
          <w:sz w:val="22"/>
          <w:szCs w:val="22"/>
        </w:rPr>
        <w:t>15.1 billion (23.3%), Agriculture with US</w:t>
      </w:r>
      <w:r w:rsidR="00C177CC">
        <w:rPr>
          <w:rFonts w:ascii="Roboto Light" w:hAnsi="Roboto Light"/>
          <w:sz w:val="22"/>
          <w:szCs w:val="22"/>
        </w:rPr>
        <w:t xml:space="preserve">D </w:t>
      </w:r>
      <w:r w:rsidR="000D7BF1" w:rsidRPr="0058612B">
        <w:rPr>
          <w:rFonts w:ascii="Roboto Light" w:hAnsi="Roboto Light"/>
          <w:sz w:val="22"/>
          <w:szCs w:val="22"/>
        </w:rPr>
        <w:t>9.3 billion (14.3%), followed by water, sanitation and urban services with US</w:t>
      </w:r>
      <w:r w:rsidR="00482C87">
        <w:rPr>
          <w:rFonts w:ascii="Roboto Light" w:hAnsi="Roboto Light"/>
          <w:sz w:val="22"/>
          <w:szCs w:val="22"/>
        </w:rPr>
        <w:t xml:space="preserve">D </w:t>
      </w:r>
      <w:r w:rsidR="000D7BF1" w:rsidRPr="0058612B">
        <w:rPr>
          <w:rFonts w:ascii="Roboto Light" w:hAnsi="Roboto Light"/>
          <w:sz w:val="22"/>
          <w:szCs w:val="22"/>
        </w:rPr>
        <w:t xml:space="preserve">7.1 billion (11%). </w:t>
      </w:r>
    </w:p>
    <w:p w14:paraId="60348006" w14:textId="197663CD" w:rsidR="00D75D10" w:rsidRPr="001D0E0D" w:rsidRDefault="00D75D10" w:rsidP="00D75D10">
      <w:pPr>
        <w:pStyle w:val="Caption"/>
        <w:spacing w:after="120"/>
        <w:ind w:left="360"/>
        <w:rPr>
          <w:rFonts w:ascii="Roboto" w:hAnsi="Roboto"/>
          <w:i w:val="0"/>
          <w:iCs w:val="0"/>
          <w:color w:val="auto"/>
          <w:sz w:val="28"/>
          <w:szCs w:val="28"/>
        </w:rPr>
      </w:pPr>
      <w:r w:rsidRPr="008A4ECC">
        <w:rPr>
          <w:rFonts w:ascii="Roboto" w:hAnsi="Roboto"/>
          <w:i w:val="0"/>
          <w:iCs w:val="0"/>
          <w:color w:val="auto"/>
          <w:sz w:val="22"/>
          <w:szCs w:val="22"/>
        </w:rPr>
        <w:t xml:space="preserve">Figure </w:t>
      </w:r>
      <w:r w:rsidRPr="008A4ECC">
        <w:rPr>
          <w:rFonts w:ascii="Roboto" w:hAnsi="Roboto"/>
          <w:i w:val="0"/>
          <w:iCs w:val="0"/>
          <w:color w:val="auto"/>
          <w:sz w:val="22"/>
          <w:szCs w:val="22"/>
        </w:rPr>
        <w:fldChar w:fldCharType="begin"/>
      </w:r>
      <w:r w:rsidRPr="008A4ECC">
        <w:rPr>
          <w:rFonts w:ascii="Roboto" w:hAnsi="Roboto"/>
          <w:i w:val="0"/>
          <w:iCs w:val="0"/>
          <w:color w:val="auto"/>
          <w:sz w:val="22"/>
          <w:szCs w:val="22"/>
        </w:rPr>
        <w:instrText xml:space="preserve"> SEQ Figure \* ARABIC </w:instrText>
      </w:r>
      <w:r w:rsidRPr="008A4ECC">
        <w:rPr>
          <w:rFonts w:ascii="Roboto" w:hAnsi="Roboto"/>
          <w:i w:val="0"/>
          <w:iCs w:val="0"/>
          <w:color w:val="auto"/>
          <w:sz w:val="22"/>
          <w:szCs w:val="22"/>
        </w:rPr>
        <w:fldChar w:fldCharType="separate"/>
      </w:r>
      <w:r w:rsidR="00F14868">
        <w:rPr>
          <w:rFonts w:ascii="Roboto" w:hAnsi="Roboto"/>
          <w:i w:val="0"/>
          <w:iCs w:val="0"/>
          <w:noProof/>
          <w:color w:val="auto"/>
          <w:sz w:val="22"/>
          <w:szCs w:val="22"/>
        </w:rPr>
        <w:t>1</w:t>
      </w:r>
      <w:r w:rsidRPr="008A4ECC">
        <w:rPr>
          <w:rFonts w:ascii="Roboto" w:hAnsi="Roboto"/>
          <w:i w:val="0"/>
          <w:iCs w:val="0"/>
          <w:color w:val="auto"/>
          <w:sz w:val="22"/>
          <w:szCs w:val="22"/>
        </w:rPr>
        <w:fldChar w:fldCharType="end"/>
      </w:r>
      <w:r w:rsidRPr="008A4ECC">
        <w:rPr>
          <w:rFonts w:ascii="Roboto" w:hAnsi="Roboto"/>
          <w:i w:val="0"/>
          <w:iCs w:val="0"/>
          <w:color w:val="auto"/>
          <w:sz w:val="22"/>
          <w:szCs w:val="22"/>
        </w:rPr>
        <w:t>: Cumulative IsDB Approvals by Sector since Inception (1975-2024)</w:t>
      </w:r>
    </w:p>
    <w:p w14:paraId="75FB2F24" w14:textId="51BEADA7" w:rsidR="00B07FFC" w:rsidRPr="0058612B" w:rsidRDefault="009233D0" w:rsidP="00C47426">
      <w:pPr>
        <w:pStyle w:val="Default"/>
        <w:spacing w:after="89" w:line="276" w:lineRule="auto"/>
        <w:jc w:val="both"/>
        <w:rPr>
          <w:rFonts w:ascii="Roboto Light" w:hAnsi="Roboto Light"/>
          <w:sz w:val="22"/>
          <w:szCs w:val="22"/>
        </w:rPr>
      </w:pPr>
      <w:r w:rsidRPr="0058612B">
        <w:rPr>
          <w:rFonts w:ascii="Roboto Light" w:hAnsi="Roboto Light"/>
          <w:noProof/>
        </w:rPr>
        <w:drawing>
          <wp:inline distT="0" distB="0" distL="0" distR="0" wp14:anchorId="1B18C2E0" wp14:editId="68994739">
            <wp:extent cx="5943600" cy="2733675"/>
            <wp:effectExtent l="0" t="0" r="0" b="9525"/>
            <wp:docPr id="221366484" name="Chart 1">
              <a:extLst xmlns:a="http://schemas.openxmlformats.org/drawingml/2006/main">
                <a:ext uri="{FF2B5EF4-FFF2-40B4-BE49-F238E27FC236}">
                  <a16:creationId xmlns:a16="http://schemas.microsoft.com/office/drawing/2014/main" id="{3D033ADE-E4EB-CFE7-31DB-C101D534537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58666672" w14:textId="476B0868" w:rsidR="00FC3D19" w:rsidRPr="001F6CA5" w:rsidRDefault="00FB07AA" w:rsidP="00957354">
      <w:pPr>
        <w:pStyle w:val="Default"/>
        <w:numPr>
          <w:ilvl w:val="1"/>
          <w:numId w:val="4"/>
        </w:numPr>
        <w:spacing w:after="89" w:line="276" w:lineRule="auto"/>
        <w:ind w:left="0" w:firstLine="0"/>
        <w:jc w:val="both"/>
        <w:rPr>
          <w:rFonts w:ascii="Roboto Light" w:hAnsi="Roboto Light"/>
          <w:sz w:val="22"/>
          <w:szCs w:val="22"/>
        </w:rPr>
      </w:pPr>
      <w:r w:rsidRPr="001F6CA5">
        <w:rPr>
          <w:rFonts w:ascii="Roboto Light" w:hAnsi="Roboto Light"/>
          <w:sz w:val="22"/>
          <w:szCs w:val="22"/>
        </w:rPr>
        <w:t xml:space="preserve">The coverage of </w:t>
      </w:r>
      <w:r w:rsidR="003028F6" w:rsidRPr="001F6CA5">
        <w:rPr>
          <w:rFonts w:ascii="Roboto Light" w:hAnsi="Roboto Light"/>
          <w:sz w:val="22"/>
          <w:szCs w:val="22"/>
        </w:rPr>
        <w:t xml:space="preserve">this evaluation </w:t>
      </w:r>
      <w:r w:rsidR="00C45421" w:rsidRPr="001F6CA5">
        <w:rPr>
          <w:rFonts w:ascii="Roboto Light" w:hAnsi="Roboto Light"/>
          <w:sz w:val="22"/>
          <w:szCs w:val="22"/>
        </w:rPr>
        <w:t xml:space="preserve">will be </w:t>
      </w:r>
      <w:r w:rsidRPr="001F6CA5">
        <w:rPr>
          <w:rFonts w:ascii="Roboto Light" w:hAnsi="Roboto Light"/>
          <w:sz w:val="22"/>
          <w:szCs w:val="22"/>
        </w:rPr>
        <w:t xml:space="preserve">health sector approvals for the period </w:t>
      </w:r>
      <w:r w:rsidR="00EE49B4" w:rsidRPr="001F6CA5">
        <w:rPr>
          <w:rFonts w:ascii="Roboto Light" w:hAnsi="Roboto Light"/>
          <w:sz w:val="22"/>
          <w:szCs w:val="22"/>
        </w:rPr>
        <w:t>between 201</w:t>
      </w:r>
      <w:r w:rsidR="00DE0E06" w:rsidRPr="001F6CA5">
        <w:rPr>
          <w:rFonts w:ascii="Roboto Light" w:hAnsi="Roboto Light"/>
          <w:sz w:val="22"/>
          <w:szCs w:val="22"/>
        </w:rPr>
        <w:t>5</w:t>
      </w:r>
      <w:r w:rsidRPr="001F6CA5">
        <w:rPr>
          <w:rFonts w:ascii="Roboto Light" w:hAnsi="Roboto Light"/>
          <w:sz w:val="22"/>
          <w:szCs w:val="22"/>
        </w:rPr>
        <w:t xml:space="preserve"> and </w:t>
      </w:r>
      <w:r w:rsidR="003028F6" w:rsidRPr="001F6CA5">
        <w:rPr>
          <w:rFonts w:ascii="Roboto Light" w:hAnsi="Roboto Light"/>
          <w:sz w:val="22"/>
          <w:szCs w:val="22"/>
        </w:rPr>
        <w:t>2024</w:t>
      </w:r>
      <w:r w:rsidRPr="001F6CA5">
        <w:rPr>
          <w:rFonts w:ascii="Roboto Light" w:hAnsi="Roboto Light"/>
          <w:sz w:val="22"/>
          <w:szCs w:val="22"/>
        </w:rPr>
        <w:t xml:space="preserve">. As Table 1 illustrates, </w:t>
      </w:r>
      <w:r w:rsidR="00FF2628" w:rsidRPr="001F6CA5">
        <w:rPr>
          <w:rFonts w:ascii="Roboto Light" w:hAnsi="Roboto Light"/>
          <w:sz w:val="22"/>
          <w:szCs w:val="22"/>
        </w:rPr>
        <w:t xml:space="preserve">IsDB approved a total of </w:t>
      </w:r>
      <w:r w:rsidR="001F6CA5" w:rsidRPr="001F6CA5">
        <w:rPr>
          <w:rFonts w:ascii="Roboto Light" w:hAnsi="Roboto Light"/>
          <w:sz w:val="22"/>
          <w:szCs w:val="22"/>
        </w:rPr>
        <w:t>271</w:t>
      </w:r>
      <w:r w:rsidR="00FF2628" w:rsidRPr="001F6CA5">
        <w:rPr>
          <w:rFonts w:ascii="Roboto Light" w:hAnsi="Roboto Light"/>
          <w:sz w:val="22"/>
          <w:szCs w:val="22"/>
        </w:rPr>
        <w:t xml:space="preserve"> health sector interventions </w:t>
      </w:r>
      <w:r w:rsidR="001F6CA5" w:rsidRPr="001F6CA5">
        <w:rPr>
          <w:rFonts w:ascii="Roboto Light" w:hAnsi="Roboto Light"/>
          <w:sz w:val="22"/>
          <w:szCs w:val="22"/>
        </w:rPr>
        <w:t xml:space="preserve">(including 54 projects and 217 grant operations) </w:t>
      </w:r>
      <w:r w:rsidR="003A46D7" w:rsidRPr="001F6CA5">
        <w:rPr>
          <w:rFonts w:ascii="Roboto Light" w:hAnsi="Roboto Light"/>
          <w:sz w:val="22"/>
          <w:szCs w:val="22"/>
        </w:rPr>
        <w:t>during the period (201</w:t>
      </w:r>
      <w:r w:rsidR="00872AAD" w:rsidRPr="001F6CA5">
        <w:rPr>
          <w:rFonts w:ascii="Roboto Light" w:hAnsi="Roboto Light"/>
          <w:sz w:val="22"/>
          <w:szCs w:val="22"/>
        </w:rPr>
        <w:t>5</w:t>
      </w:r>
      <w:r w:rsidR="003A46D7" w:rsidRPr="001F6CA5">
        <w:rPr>
          <w:rFonts w:ascii="Roboto Light" w:hAnsi="Roboto Light"/>
          <w:sz w:val="22"/>
          <w:szCs w:val="22"/>
        </w:rPr>
        <w:t>-2024</w:t>
      </w:r>
      <w:r w:rsidR="00FF2628" w:rsidRPr="001F6CA5">
        <w:rPr>
          <w:rFonts w:ascii="Roboto Light" w:hAnsi="Roboto Light"/>
          <w:sz w:val="22"/>
          <w:szCs w:val="22"/>
        </w:rPr>
        <w:t>) at a total amount of US</w:t>
      </w:r>
      <w:r w:rsidR="000A5BD7" w:rsidRPr="001F6CA5">
        <w:rPr>
          <w:rFonts w:ascii="Roboto Light" w:hAnsi="Roboto Light"/>
          <w:sz w:val="22"/>
          <w:szCs w:val="22"/>
        </w:rPr>
        <w:t xml:space="preserve">D </w:t>
      </w:r>
      <w:r w:rsidR="001F6CA5" w:rsidRPr="001F6CA5">
        <w:rPr>
          <w:rFonts w:ascii="Roboto Light" w:hAnsi="Roboto Light"/>
          <w:sz w:val="22"/>
          <w:szCs w:val="22"/>
        </w:rPr>
        <w:t>3.76</w:t>
      </w:r>
      <w:r w:rsidR="000A5491" w:rsidRPr="001F6CA5">
        <w:rPr>
          <w:rFonts w:ascii="Roboto Light" w:hAnsi="Roboto Light"/>
          <w:sz w:val="22"/>
          <w:szCs w:val="22"/>
        </w:rPr>
        <w:t xml:space="preserve"> </w:t>
      </w:r>
      <w:r w:rsidR="001F6CA5" w:rsidRPr="001F6CA5">
        <w:rPr>
          <w:rFonts w:ascii="Roboto Light" w:hAnsi="Roboto Light"/>
          <w:sz w:val="22"/>
          <w:szCs w:val="22"/>
        </w:rPr>
        <w:t>b</w:t>
      </w:r>
      <w:r w:rsidR="00FF2628" w:rsidRPr="001F6CA5">
        <w:rPr>
          <w:rFonts w:ascii="Roboto Light" w:hAnsi="Roboto Light"/>
          <w:sz w:val="22"/>
          <w:szCs w:val="22"/>
        </w:rPr>
        <w:t>illion</w:t>
      </w:r>
      <w:r w:rsidR="000A5491" w:rsidRPr="001F6CA5">
        <w:rPr>
          <w:rFonts w:ascii="Roboto Light" w:hAnsi="Roboto Light"/>
          <w:sz w:val="22"/>
          <w:szCs w:val="22"/>
        </w:rPr>
        <w:t>.</w:t>
      </w:r>
      <w:r w:rsidR="00FF2628" w:rsidRPr="001F6CA5">
        <w:rPr>
          <w:rFonts w:ascii="Roboto Light" w:hAnsi="Roboto Light"/>
          <w:sz w:val="22"/>
          <w:szCs w:val="22"/>
        </w:rPr>
        <w:t xml:space="preserve"> A sub-sector classification in terms of total approved amount</w:t>
      </w:r>
      <w:r w:rsidR="00FC3D19" w:rsidRPr="001F6CA5">
        <w:rPr>
          <w:rFonts w:ascii="Roboto Light" w:hAnsi="Roboto Light"/>
          <w:sz w:val="22"/>
          <w:szCs w:val="22"/>
        </w:rPr>
        <w:t xml:space="preserve"> is illustrated at the table below.</w:t>
      </w:r>
    </w:p>
    <w:p w14:paraId="4F57F565" w14:textId="77777777" w:rsidR="00450913" w:rsidRDefault="00450913" w:rsidP="00450913">
      <w:pPr>
        <w:pStyle w:val="Default"/>
        <w:spacing w:after="89" w:line="276" w:lineRule="auto"/>
        <w:jc w:val="both"/>
        <w:rPr>
          <w:rFonts w:ascii="Roboto Light" w:hAnsi="Roboto Light"/>
          <w:sz w:val="22"/>
          <w:szCs w:val="22"/>
        </w:rPr>
      </w:pPr>
    </w:p>
    <w:p w14:paraId="2153CB36" w14:textId="77777777" w:rsidR="00450913" w:rsidRDefault="00450913" w:rsidP="000C164C">
      <w:pPr>
        <w:pStyle w:val="Default"/>
        <w:spacing w:after="89" w:line="276" w:lineRule="auto"/>
        <w:jc w:val="center"/>
        <w:rPr>
          <w:rFonts w:ascii="Roboto Light" w:eastAsia="Times New Roman" w:hAnsi="Roboto Light" w:cs="Arial"/>
          <w:b/>
          <w:bCs/>
          <w:sz w:val="20"/>
          <w:szCs w:val="20"/>
          <w14:ligatures w14:val="none"/>
        </w:rPr>
      </w:pPr>
    </w:p>
    <w:tbl>
      <w:tblPr>
        <w:tblStyle w:val="TableGrid"/>
        <w:tblpPr w:leftFromText="180" w:rightFromText="180" w:vertAnchor="text" w:horzAnchor="margin" w:tblpY="328"/>
        <w:tblW w:w="9855" w:type="dxa"/>
        <w:tblLook w:val="04A0" w:firstRow="1" w:lastRow="0" w:firstColumn="1" w:lastColumn="0" w:noHBand="0" w:noVBand="1"/>
      </w:tblPr>
      <w:tblGrid>
        <w:gridCol w:w="716"/>
        <w:gridCol w:w="2583"/>
        <w:gridCol w:w="1736"/>
        <w:gridCol w:w="2610"/>
        <w:gridCol w:w="2210"/>
      </w:tblGrid>
      <w:tr w:rsidR="00173153" w:rsidRPr="00020F77" w14:paraId="1DE5F233" w14:textId="77777777" w:rsidTr="00173153">
        <w:trPr>
          <w:trHeight w:val="264"/>
        </w:trPr>
        <w:tc>
          <w:tcPr>
            <w:tcW w:w="716" w:type="dxa"/>
          </w:tcPr>
          <w:p w14:paraId="4B47E399" w14:textId="77777777" w:rsidR="003F1A98" w:rsidRPr="00020F77" w:rsidRDefault="003F1A98" w:rsidP="003F1A98">
            <w:pPr>
              <w:ind w:firstLineChars="100" w:firstLine="221"/>
              <w:rPr>
                <w:rFonts w:ascii="Roboto Light" w:eastAsia="Times New Roman" w:hAnsi="Roboto Light" w:cs="Arial"/>
                <w:kern w:val="0"/>
                <w:sz w:val="22"/>
                <w:szCs w:val="22"/>
                <w14:ligatures w14:val="none"/>
              </w:rPr>
            </w:pPr>
            <w:r w:rsidRPr="00020F77">
              <w:rPr>
                <w:rFonts w:ascii="Roboto Light" w:eastAsia="Times New Roman" w:hAnsi="Roboto Light" w:cs="Times New Roman"/>
                <w:b/>
                <w:bCs/>
                <w:kern w:val="0"/>
                <w:sz w:val="22"/>
                <w:szCs w:val="22"/>
                <w14:ligatures w14:val="none"/>
              </w:rPr>
              <w:t>No</w:t>
            </w:r>
          </w:p>
        </w:tc>
        <w:tc>
          <w:tcPr>
            <w:tcW w:w="2583" w:type="dxa"/>
            <w:noWrap/>
          </w:tcPr>
          <w:p w14:paraId="1FF346D1" w14:textId="77777777" w:rsidR="003F1A98" w:rsidRPr="00020F77" w:rsidRDefault="003F1A98" w:rsidP="003F1A98">
            <w:pPr>
              <w:rPr>
                <w:rFonts w:ascii="Roboto Light" w:eastAsia="Times New Roman" w:hAnsi="Roboto Light" w:cs="Arial"/>
                <w:kern w:val="0"/>
                <w:sz w:val="22"/>
                <w:szCs w:val="22"/>
                <w14:ligatures w14:val="none"/>
              </w:rPr>
            </w:pPr>
            <w:r w:rsidRPr="00020F77">
              <w:rPr>
                <w:rFonts w:ascii="Roboto Light" w:eastAsia="Times New Roman" w:hAnsi="Roboto Light" w:cs="Times New Roman"/>
                <w:b/>
                <w:bCs/>
                <w:kern w:val="0"/>
                <w:sz w:val="22"/>
                <w:szCs w:val="22"/>
                <w14:ligatures w14:val="none"/>
              </w:rPr>
              <w:t>Sub Sector</w:t>
            </w:r>
          </w:p>
        </w:tc>
        <w:tc>
          <w:tcPr>
            <w:tcW w:w="1736" w:type="dxa"/>
          </w:tcPr>
          <w:p w14:paraId="52F0786C" w14:textId="77777777" w:rsidR="003F1A98" w:rsidRPr="00020F77" w:rsidRDefault="003F1A98" w:rsidP="003F1A98">
            <w:pPr>
              <w:jc w:val="center"/>
              <w:rPr>
                <w:rFonts w:ascii="Roboto Light" w:eastAsia="Times New Roman" w:hAnsi="Roboto Light" w:cs="Times New Roman"/>
                <w:b/>
                <w:bCs/>
                <w:kern w:val="0"/>
                <w:sz w:val="22"/>
                <w:szCs w:val="22"/>
                <w14:ligatures w14:val="none"/>
              </w:rPr>
            </w:pPr>
            <w:r>
              <w:rPr>
                <w:rFonts w:ascii="Roboto Light" w:eastAsia="Times New Roman" w:hAnsi="Roboto Light" w:cs="Times New Roman"/>
                <w:b/>
                <w:bCs/>
                <w:kern w:val="0"/>
                <w:sz w:val="22"/>
                <w:szCs w:val="22"/>
                <w14:ligatures w14:val="none"/>
              </w:rPr>
              <w:t xml:space="preserve">No. of Projects </w:t>
            </w:r>
          </w:p>
        </w:tc>
        <w:tc>
          <w:tcPr>
            <w:tcW w:w="2610" w:type="dxa"/>
            <w:noWrap/>
          </w:tcPr>
          <w:p w14:paraId="6E489F6C" w14:textId="77777777" w:rsidR="003F1A98" w:rsidRPr="00020F77" w:rsidRDefault="003F1A98" w:rsidP="003F1A98">
            <w:pPr>
              <w:jc w:val="center"/>
              <w:rPr>
                <w:rFonts w:ascii="Roboto Light" w:eastAsia="Times New Roman" w:hAnsi="Roboto Light" w:cs="Arial"/>
                <w:kern w:val="0"/>
                <w:sz w:val="22"/>
                <w:szCs w:val="22"/>
                <w14:ligatures w14:val="none"/>
              </w:rPr>
            </w:pPr>
            <w:r w:rsidRPr="00020F77">
              <w:rPr>
                <w:rFonts w:ascii="Roboto Light" w:eastAsia="Times New Roman" w:hAnsi="Roboto Light" w:cs="Times New Roman"/>
                <w:b/>
                <w:bCs/>
                <w:kern w:val="0"/>
                <w:sz w:val="22"/>
                <w:szCs w:val="22"/>
                <w14:ligatures w14:val="none"/>
              </w:rPr>
              <w:t>N</w:t>
            </w:r>
            <w:r>
              <w:rPr>
                <w:rFonts w:ascii="Roboto Light" w:eastAsia="Times New Roman" w:hAnsi="Roboto Light" w:cs="Times New Roman"/>
                <w:b/>
                <w:bCs/>
                <w:kern w:val="0"/>
                <w:sz w:val="22"/>
                <w:szCs w:val="22"/>
                <w14:ligatures w14:val="none"/>
              </w:rPr>
              <w:t xml:space="preserve">o. </w:t>
            </w:r>
            <w:r w:rsidRPr="00020F77">
              <w:rPr>
                <w:rFonts w:ascii="Roboto Light" w:eastAsia="Times New Roman" w:hAnsi="Roboto Light" w:cs="Times New Roman"/>
                <w:b/>
                <w:bCs/>
                <w:kern w:val="0"/>
                <w:sz w:val="22"/>
                <w:szCs w:val="22"/>
                <w14:ligatures w14:val="none"/>
              </w:rPr>
              <w:t xml:space="preserve">of </w:t>
            </w:r>
            <w:r>
              <w:rPr>
                <w:rFonts w:ascii="Roboto Light" w:eastAsia="Times New Roman" w:hAnsi="Roboto Light" w:cs="Times New Roman"/>
                <w:b/>
                <w:bCs/>
                <w:kern w:val="0"/>
                <w:sz w:val="22"/>
                <w:szCs w:val="22"/>
                <w14:ligatures w14:val="none"/>
              </w:rPr>
              <w:t>Grant Operations</w:t>
            </w:r>
          </w:p>
        </w:tc>
        <w:tc>
          <w:tcPr>
            <w:tcW w:w="2210" w:type="dxa"/>
            <w:noWrap/>
          </w:tcPr>
          <w:p w14:paraId="7318EA6B" w14:textId="77777777" w:rsidR="003F1A98" w:rsidRPr="00020F77" w:rsidRDefault="003F1A98" w:rsidP="003F1A98">
            <w:pPr>
              <w:jc w:val="center"/>
              <w:rPr>
                <w:rFonts w:ascii="Roboto Light" w:eastAsia="Times New Roman" w:hAnsi="Roboto Light" w:cs="Arial"/>
                <w:kern w:val="0"/>
                <w:sz w:val="22"/>
                <w:szCs w:val="22"/>
                <w14:ligatures w14:val="none"/>
              </w:rPr>
            </w:pPr>
            <w:r w:rsidRPr="00020F77">
              <w:rPr>
                <w:rFonts w:ascii="Roboto Light" w:eastAsia="Times New Roman" w:hAnsi="Roboto Light" w:cs="Times New Roman"/>
                <w:b/>
                <w:bCs/>
                <w:kern w:val="0"/>
                <w:sz w:val="22"/>
                <w:szCs w:val="22"/>
                <w14:ligatures w14:val="none"/>
              </w:rPr>
              <w:t>Approved Amount (USD M</w:t>
            </w:r>
            <w:r>
              <w:rPr>
                <w:rFonts w:ascii="Roboto Light" w:eastAsia="Times New Roman" w:hAnsi="Roboto Light" w:cs="Times New Roman"/>
                <w:b/>
                <w:bCs/>
                <w:kern w:val="0"/>
                <w:sz w:val="22"/>
                <w:szCs w:val="22"/>
                <w14:ligatures w14:val="none"/>
              </w:rPr>
              <w:t>illion</w:t>
            </w:r>
            <w:r w:rsidRPr="00020F77">
              <w:rPr>
                <w:rFonts w:ascii="Roboto Light" w:eastAsia="Times New Roman" w:hAnsi="Roboto Light" w:cs="Times New Roman"/>
                <w:b/>
                <w:bCs/>
                <w:kern w:val="0"/>
                <w:sz w:val="22"/>
                <w:szCs w:val="22"/>
                <w14:ligatures w14:val="none"/>
              </w:rPr>
              <w:t>)</w:t>
            </w:r>
          </w:p>
        </w:tc>
      </w:tr>
      <w:tr w:rsidR="00173153" w:rsidRPr="00020F77" w14:paraId="0EA59CBB" w14:textId="77777777" w:rsidTr="00173153">
        <w:trPr>
          <w:trHeight w:val="264"/>
        </w:trPr>
        <w:tc>
          <w:tcPr>
            <w:tcW w:w="716" w:type="dxa"/>
          </w:tcPr>
          <w:p w14:paraId="19895497" w14:textId="77777777" w:rsidR="003F1A98" w:rsidRPr="00020F77" w:rsidRDefault="003F1A98" w:rsidP="003F1A98">
            <w:pPr>
              <w:pStyle w:val="ListParagraph"/>
              <w:numPr>
                <w:ilvl w:val="0"/>
                <w:numId w:val="9"/>
              </w:numPr>
              <w:rPr>
                <w:rFonts w:ascii="Roboto Light" w:eastAsia="Times New Roman" w:hAnsi="Roboto Light" w:cs="Arial"/>
                <w:kern w:val="0"/>
                <w:sz w:val="22"/>
                <w:szCs w:val="22"/>
                <w14:ligatures w14:val="none"/>
              </w:rPr>
            </w:pPr>
          </w:p>
        </w:tc>
        <w:tc>
          <w:tcPr>
            <w:tcW w:w="2583" w:type="dxa"/>
            <w:noWrap/>
            <w:hideMark/>
          </w:tcPr>
          <w:p w14:paraId="447ED1F6" w14:textId="77777777" w:rsidR="003F1A98" w:rsidRPr="00020F77" w:rsidRDefault="003F1A98" w:rsidP="003F1A98">
            <w:pPr>
              <w:rPr>
                <w:rFonts w:ascii="Roboto Light" w:eastAsia="Times New Roman" w:hAnsi="Roboto Light" w:cs="Arial"/>
                <w:kern w:val="0"/>
                <w:sz w:val="22"/>
                <w:szCs w:val="22"/>
                <w14:ligatures w14:val="none"/>
              </w:rPr>
            </w:pPr>
            <w:r w:rsidRPr="00020F77">
              <w:rPr>
                <w:rFonts w:ascii="Roboto Light" w:eastAsia="Times New Roman" w:hAnsi="Roboto Light" w:cs="Arial"/>
                <w:kern w:val="0"/>
                <w:sz w:val="22"/>
                <w:szCs w:val="22"/>
                <w14:ligatures w14:val="none"/>
              </w:rPr>
              <w:t>Health institutions</w:t>
            </w:r>
          </w:p>
        </w:tc>
        <w:tc>
          <w:tcPr>
            <w:tcW w:w="1736" w:type="dxa"/>
          </w:tcPr>
          <w:p w14:paraId="5049B18B" w14:textId="5CC6C7B8" w:rsidR="003F1A98" w:rsidRDefault="00173153" w:rsidP="003F1A98">
            <w:pPr>
              <w:jc w:val="center"/>
              <w:rPr>
                <w:rFonts w:ascii="Roboto Light" w:eastAsia="Times New Roman" w:hAnsi="Roboto Light" w:cs="Arial"/>
                <w:kern w:val="0"/>
                <w:sz w:val="22"/>
                <w:szCs w:val="22"/>
                <w14:ligatures w14:val="none"/>
              </w:rPr>
            </w:pPr>
            <w:r>
              <w:rPr>
                <w:rFonts w:ascii="Roboto Light" w:eastAsia="Times New Roman" w:hAnsi="Roboto Light" w:cs="Arial"/>
                <w:kern w:val="0"/>
                <w:sz w:val="22"/>
                <w:szCs w:val="22"/>
                <w14:ligatures w14:val="none"/>
              </w:rPr>
              <w:t>7</w:t>
            </w:r>
          </w:p>
        </w:tc>
        <w:tc>
          <w:tcPr>
            <w:tcW w:w="2610" w:type="dxa"/>
            <w:noWrap/>
            <w:hideMark/>
          </w:tcPr>
          <w:p w14:paraId="362CFFE8" w14:textId="77777777" w:rsidR="003F1A98" w:rsidRPr="00020F77" w:rsidRDefault="003F1A98" w:rsidP="003F1A98">
            <w:pPr>
              <w:jc w:val="center"/>
              <w:rPr>
                <w:rFonts w:ascii="Roboto Light" w:eastAsia="Times New Roman" w:hAnsi="Roboto Light" w:cs="Arial"/>
                <w:kern w:val="0"/>
                <w:sz w:val="22"/>
                <w:szCs w:val="22"/>
                <w14:ligatures w14:val="none"/>
              </w:rPr>
            </w:pPr>
            <w:r>
              <w:rPr>
                <w:rFonts w:ascii="Roboto Light" w:eastAsia="Times New Roman" w:hAnsi="Roboto Light" w:cs="Arial"/>
                <w:kern w:val="0"/>
                <w:sz w:val="22"/>
                <w:szCs w:val="22"/>
                <w14:ligatures w14:val="none"/>
              </w:rPr>
              <w:t>37</w:t>
            </w:r>
          </w:p>
        </w:tc>
        <w:tc>
          <w:tcPr>
            <w:tcW w:w="2210" w:type="dxa"/>
            <w:noWrap/>
            <w:hideMark/>
          </w:tcPr>
          <w:p w14:paraId="77623C06" w14:textId="77777777" w:rsidR="003F1A98" w:rsidRPr="00020F77" w:rsidRDefault="003F1A98" w:rsidP="008373E1">
            <w:pPr>
              <w:jc w:val="center"/>
              <w:rPr>
                <w:rFonts w:ascii="Roboto Light" w:eastAsia="Times New Roman" w:hAnsi="Roboto Light" w:cs="Arial"/>
                <w:kern w:val="0"/>
                <w:sz w:val="22"/>
                <w:szCs w:val="22"/>
                <w14:ligatures w14:val="none"/>
              </w:rPr>
            </w:pPr>
            <w:r w:rsidRPr="00020F77">
              <w:rPr>
                <w:rFonts w:ascii="Roboto Light" w:eastAsia="Times New Roman" w:hAnsi="Roboto Light" w:cs="Arial"/>
                <w:kern w:val="0"/>
                <w:sz w:val="22"/>
                <w:szCs w:val="22"/>
                <w14:ligatures w14:val="none"/>
              </w:rPr>
              <w:t>1,</w:t>
            </w:r>
            <w:r>
              <w:rPr>
                <w:rFonts w:ascii="Roboto Light" w:eastAsia="Times New Roman" w:hAnsi="Roboto Light" w:cs="Arial"/>
                <w:kern w:val="0"/>
                <w:sz w:val="22"/>
                <w:szCs w:val="22"/>
                <w14:ligatures w14:val="none"/>
              </w:rPr>
              <w:t>538</w:t>
            </w:r>
          </w:p>
        </w:tc>
      </w:tr>
      <w:tr w:rsidR="00173153" w:rsidRPr="00020F77" w14:paraId="5CABA993" w14:textId="77777777" w:rsidTr="00173153">
        <w:trPr>
          <w:trHeight w:val="264"/>
        </w:trPr>
        <w:tc>
          <w:tcPr>
            <w:tcW w:w="716" w:type="dxa"/>
          </w:tcPr>
          <w:p w14:paraId="027A70CD" w14:textId="77777777" w:rsidR="003F1A98" w:rsidRPr="00020F77" w:rsidRDefault="003F1A98" w:rsidP="003F1A98">
            <w:pPr>
              <w:pStyle w:val="ListParagraph"/>
              <w:numPr>
                <w:ilvl w:val="0"/>
                <w:numId w:val="9"/>
              </w:numPr>
              <w:rPr>
                <w:rFonts w:ascii="Roboto Light" w:eastAsia="Times New Roman" w:hAnsi="Roboto Light" w:cs="Arial"/>
                <w:kern w:val="0"/>
                <w:sz w:val="22"/>
                <w:szCs w:val="22"/>
                <w14:ligatures w14:val="none"/>
              </w:rPr>
            </w:pPr>
          </w:p>
        </w:tc>
        <w:tc>
          <w:tcPr>
            <w:tcW w:w="2583" w:type="dxa"/>
            <w:noWrap/>
          </w:tcPr>
          <w:p w14:paraId="2E462B29" w14:textId="77777777" w:rsidR="003F1A98" w:rsidRPr="00020F77" w:rsidRDefault="003F1A98" w:rsidP="003F1A98">
            <w:pPr>
              <w:rPr>
                <w:rFonts w:ascii="Roboto Light" w:eastAsia="Times New Roman" w:hAnsi="Roboto Light" w:cs="Arial"/>
                <w:kern w:val="0"/>
                <w:sz w:val="22"/>
                <w:szCs w:val="22"/>
                <w14:ligatures w14:val="none"/>
              </w:rPr>
            </w:pPr>
            <w:r w:rsidRPr="00020F77">
              <w:rPr>
                <w:rFonts w:ascii="Roboto Light" w:eastAsia="Times New Roman" w:hAnsi="Roboto Light" w:cs="Arial"/>
                <w:kern w:val="0"/>
                <w:sz w:val="22"/>
                <w:szCs w:val="22"/>
                <w14:ligatures w14:val="none"/>
              </w:rPr>
              <w:t>General health services</w:t>
            </w:r>
          </w:p>
        </w:tc>
        <w:tc>
          <w:tcPr>
            <w:tcW w:w="1736" w:type="dxa"/>
          </w:tcPr>
          <w:p w14:paraId="54F290B3" w14:textId="0F7EB0D6" w:rsidR="003F1A98" w:rsidRDefault="00173153" w:rsidP="003F1A98">
            <w:pPr>
              <w:jc w:val="center"/>
              <w:rPr>
                <w:rFonts w:ascii="Roboto Light" w:eastAsia="Times New Roman" w:hAnsi="Roboto Light" w:cs="Arial"/>
                <w:kern w:val="0"/>
                <w:sz w:val="22"/>
                <w:szCs w:val="22"/>
                <w14:ligatures w14:val="none"/>
              </w:rPr>
            </w:pPr>
            <w:r>
              <w:rPr>
                <w:rFonts w:ascii="Roboto Light" w:eastAsia="Times New Roman" w:hAnsi="Roboto Light" w:cs="Arial"/>
                <w:kern w:val="0"/>
                <w:sz w:val="22"/>
                <w:szCs w:val="22"/>
                <w14:ligatures w14:val="none"/>
              </w:rPr>
              <w:t>26</w:t>
            </w:r>
          </w:p>
        </w:tc>
        <w:tc>
          <w:tcPr>
            <w:tcW w:w="2610" w:type="dxa"/>
            <w:noWrap/>
          </w:tcPr>
          <w:p w14:paraId="78A5F479" w14:textId="469985E5" w:rsidR="003F1A98" w:rsidRPr="00020F77" w:rsidRDefault="001F5FA9" w:rsidP="003F1A98">
            <w:pPr>
              <w:jc w:val="center"/>
              <w:rPr>
                <w:rFonts w:ascii="Roboto Light" w:eastAsia="Times New Roman" w:hAnsi="Roboto Light" w:cs="Arial"/>
                <w:kern w:val="0"/>
                <w:sz w:val="22"/>
                <w:szCs w:val="22"/>
                <w14:ligatures w14:val="none"/>
              </w:rPr>
            </w:pPr>
            <w:r>
              <w:rPr>
                <w:rFonts w:ascii="Roboto Light" w:eastAsia="Times New Roman" w:hAnsi="Roboto Light" w:cs="Arial"/>
                <w:kern w:val="0"/>
                <w:sz w:val="22"/>
                <w:szCs w:val="22"/>
                <w14:ligatures w14:val="none"/>
              </w:rPr>
              <w:t>121</w:t>
            </w:r>
          </w:p>
        </w:tc>
        <w:tc>
          <w:tcPr>
            <w:tcW w:w="2210" w:type="dxa"/>
            <w:noWrap/>
          </w:tcPr>
          <w:p w14:paraId="11A0B0CF" w14:textId="77777777" w:rsidR="003F1A98" w:rsidRPr="00020F77" w:rsidRDefault="003F1A98" w:rsidP="008373E1">
            <w:pPr>
              <w:jc w:val="center"/>
              <w:rPr>
                <w:rFonts w:ascii="Roboto Light" w:eastAsia="Times New Roman" w:hAnsi="Roboto Light" w:cs="Arial"/>
                <w:kern w:val="0"/>
                <w:sz w:val="22"/>
                <w:szCs w:val="22"/>
                <w14:ligatures w14:val="none"/>
              </w:rPr>
            </w:pPr>
            <w:r w:rsidRPr="00020F77">
              <w:rPr>
                <w:rFonts w:ascii="Roboto Light" w:eastAsia="Times New Roman" w:hAnsi="Roboto Light" w:cs="Arial"/>
                <w:kern w:val="0"/>
                <w:sz w:val="22"/>
                <w:szCs w:val="22"/>
                <w14:ligatures w14:val="none"/>
              </w:rPr>
              <w:t>1,</w:t>
            </w:r>
            <w:r>
              <w:rPr>
                <w:rFonts w:ascii="Roboto Light" w:eastAsia="Times New Roman" w:hAnsi="Roboto Light" w:cs="Arial"/>
                <w:kern w:val="0"/>
                <w:sz w:val="22"/>
                <w:szCs w:val="22"/>
                <w14:ligatures w14:val="none"/>
              </w:rPr>
              <w:t>352</w:t>
            </w:r>
          </w:p>
        </w:tc>
      </w:tr>
      <w:tr w:rsidR="00173153" w:rsidRPr="00020F77" w14:paraId="747D12FE" w14:textId="77777777" w:rsidTr="00173153">
        <w:trPr>
          <w:trHeight w:val="264"/>
        </w:trPr>
        <w:tc>
          <w:tcPr>
            <w:tcW w:w="716" w:type="dxa"/>
          </w:tcPr>
          <w:p w14:paraId="409544F8" w14:textId="77777777" w:rsidR="003F1A98" w:rsidRPr="00020F77" w:rsidRDefault="003F1A98" w:rsidP="003F1A98">
            <w:pPr>
              <w:pStyle w:val="ListParagraph"/>
              <w:numPr>
                <w:ilvl w:val="0"/>
                <w:numId w:val="9"/>
              </w:numPr>
              <w:rPr>
                <w:rFonts w:ascii="Roboto Light" w:eastAsia="Times New Roman" w:hAnsi="Roboto Light" w:cs="Arial"/>
                <w:kern w:val="0"/>
                <w:sz w:val="22"/>
                <w:szCs w:val="22"/>
                <w14:ligatures w14:val="none"/>
              </w:rPr>
            </w:pPr>
          </w:p>
        </w:tc>
        <w:tc>
          <w:tcPr>
            <w:tcW w:w="2583" w:type="dxa"/>
            <w:noWrap/>
            <w:hideMark/>
          </w:tcPr>
          <w:p w14:paraId="3983AC65" w14:textId="77777777" w:rsidR="003F1A98" w:rsidRPr="00020F77" w:rsidRDefault="003F1A98" w:rsidP="003F1A98">
            <w:pPr>
              <w:rPr>
                <w:rFonts w:ascii="Roboto Light" w:eastAsia="Times New Roman" w:hAnsi="Roboto Light" w:cs="Arial"/>
                <w:kern w:val="0"/>
                <w:sz w:val="22"/>
                <w:szCs w:val="22"/>
                <w14:ligatures w14:val="none"/>
              </w:rPr>
            </w:pPr>
            <w:r w:rsidRPr="00020F77">
              <w:rPr>
                <w:rFonts w:ascii="Roboto Light" w:eastAsia="Times New Roman" w:hAnsi="Roboto Light" w:cs="Arial"/>
                <w:kern w:val="0"/>
                <w:sz w:val="22"/>
                <w:szCs w:val="22"/>
                <w14:ligatures w14:val="none"/>
              </w:rPr>
              <w:t>Drugs and Vaccine production</w:t>
            </w:r>
          </w:p>
        </w:tc>
        <w:tc>
          <w:tcPr>
            <w:tcW w:w="1736" w:type="dxa"/>
          </w:tcPr>
          <w:p w14:paraId="0B79716A" w14:textId="0A52CD20" w:rsidR="003F1A98" w:rsidRDefault="00173153" w:rsidP="003F1A98">
            <w:pPr>
              <w:jc w:val="center"/>
              <w:rPr>
                <w:rFonts w:ascii="Roboto Light" w:eastAsia="Times New Roman" w:hAnsi="Roboto Light" w:cs="Arial"/>
                <w:kern w:val="0"/>
                <w:sz w:val="22"/>
                <w:szCs w:val="22"/>
                <w14:ligatures w14:val="none"/>
              </w:rPr>
            </w:pPr>
            <w:r>
              <w:rPr>
                <w:rFonts w:ascii="Roboto Light" w:eastAsia="Times New Roman" w:hAnsi="Roboto Light" w:cs="Arial"/>
                <w:kern w:val="0"/>
                <w:sz w:val="22"/>
                <w:szCs w:val="22"/>
                <w14:ligatures w14:val="none"/>
              </w:rPr>
              <w:t>7</w:t>
            </w:r>
          </w:p>
        </w:tc>
        <w:tc>
          <w:tcPr>
            <w:tcW w:w="2610" w:type="dxa"/>
            <w:noWrap/>
            <w:hideMark/>
          </w:tcPr>
          <w:p w14:paraId="4D00B75D" w14:textId="4C600942" w:rsidR="003F1A98" w:rsidRPr="00020F77" w:rsidRDefault="008373E1" w:rsidP="003F1A98">
            <w:pPr>
              <w:jc w:val="center"/>
              <w:rPr>
                <w:rFonts w:ascii="Roboto Light" w:eastAsia="Times New Roman" w:hAnsi="Roboto Light" w:cs="Arial"/>
                <w:kern w:val="0"/>
                <w:sz w:val="22"/>
                <w:szCs w:val="22"/>
                <w14:ligatures w14:val="none"/>
              </w:rPr>
            </w:pPr>
            <w:r>
              <w:rPr>
                <w:rFonts w:ascii="Roboto Light" w:eastAsia="Times New Roman" w:hAnsi="Roboto Light" w:cs="Arial"/>
                <w:kern w:val="0"/>
                <w:sz w:val="22"/>
                <w:szCs w:val="22"/>
                <w14:ligatures w14:val="none"/>
              </w:rPr>
              <w:t>11</w:t>
            </w:r>
          </w:p>
        </w:tc>
        <w:tc>
          <w:tcPr>
            <w:tcW w:w="2210" w:type="dxa"/>
            <w:noWrap/>
            <w:hideMark/>
          </w:tcPr>
          <w:p w14:paraId="2F874C0B" w14:textId="77777777" w:rsidR="003F1A98" w:rsidRPr="00020F77" w:rsidRDefault="003F1A98" w:rsidP="008373E1">
            <w:pPr>
              <w:jc w:val="center"/>
              <w:rPr>
                <w:rFonts w:ascii="Roboto Light" w:eastAsia="Times New Roman" w:hAnsi="Roboto Light" w:cs="Arial"/>
                <w:kern w:val="0"/>
                <w:sz w:val="22"/>
                <w:szCs w:val="22"/>
                <w14:ligatures w14:val="none"/>
              </w:rPr>
            </w:pPr>
            <w:r>
              <w:rPr>
                <w:rFonts w:ascii="Roboto Light" w:eastAsia="Times New Roman" w:hAnsi="Roboto Light" w:cs="Arial"/>
                <w:kern w:val="0"/>
                <w:sz w:val="22"/>
                <w:szCs w:val="22"/>
                <w14:ligatures w14:val="none"/>
              </w:rPr>
              <w:t>391</w:t>
            </w:r>
          </w:p>
        </w:tc>
      </w:tr>
      <w:tr w:rsidR="00173153" w:rsidRPr="00020F77" w14:paraId="78925E31" w14:textId="77777777" w:rsidTr="00173153">
        <w:trPr>
          <w:trHeight w:val="264"/>
        </w:trPr>
        <w:tc>
          <w:tcPr>
            <w:tcW w:w="716" w:type="dxa"/>
          </w:tcPr>
          <w:p w14:paraId="7D4E81AC" w14:textId="77777777" w:rsidR="003F1A98" w:rsidRPr="00020F77" w:rsidRDefault="003F1A98" w:rsidP="003F1A98">
            <w:pPr>
              <w:pStyle w:val="ListParagraph"/>
              <w:numPr>
                <w:ilvl w:val="0"/>
                <w:numId w:val="9"/>
              </w:numPr>
              <w:rPr>
                <w:rFonts w:ascii="Roboto Light" w:eastAsia="Times New Roman" w:hAnsi="Roboto Light" w:cs="Arial"/>
                <w:kern w:val="0"/>
                <w:sz w:val="22"/>
                <w:szCs w:val="22"/>
                <w14:ligatures w14:val="none"/>
              </w:rPr>
            </w:pPr>
          </w:p>
        </w:tc>
        <w:tc>
          <w:tcPr>
            <w:tcW w:w="2583" w:type="dxa"/>
            <w:noWrap/>
            <w:hideMark/>
          </w:tcPr>
          <w:p w14:paraId="47D196CD" w14:textId="77777777" w:rsidR="003F1A98" w:rsidRPr="00020F77" w:rsidRDefault="003F1A98" w:rsidP="003F1A98">
            <w:pPr>
              <w:rPr>
                <w:rFonts w:ascii="Roboto Light" w:eastAsia="Times New Roman" w:hAnsi="Roboto Light" w:cs="Arial"/>
                <w:kern w:val="0"/>
                <w:sz w:val="22"/>
                <w:szCs w:val="22"/>
                <w14:ligatures w14:val="none"/>
              </w:rPr>
            </w:pPr>
            <w:r w:rsidRPr="00020F77">
              <w:rPr>
                <w:rFonts w:ascii="Roboto Light" w:eastAsia="Times New Roman" w:hAnsi="Roboto Light" w:cs="Arial"/>
                <w:kern w:val="0"/>
                <w:sz w:val="22"/>
                <w:szCs w:val="22"/>
                <w14:ligatures w14:val="none"/>
              </w:rPr>
              <w:t>Primary and rural health</w:t>
            </w:r>
          </w:p>
        </w:tc>
        <w:tc>
          <w:tcPr>
            <w:tcW w:w="1736" w:type="dxa"/>
          </w:tcPr>
          <w:p w14:paraId="4E92FEEE" w14:textId="2593EDC3" w:rsidR="003F1A98" w:rsidRDefault="00173153" w:rsidP="003F1A98">
            <w:pPr>
              <w:jc w:val="center"/>
              <w:rPr>
                <w:rFonts w:ascii="Roboto Light" w:eastAsia="Times New Roman" w:hAnsi="Roboto Light" w:cs="Arial"/>
                <w:kern w:val="0"/>
                <w:sz w:val="22"/>
                <w:szCs w:val="22"/>
                <w14:ligatures w14:val="none"/>
              </w:rPr>
            </w:pPr>
            <w:r>
              <w:rPr>
                <w:rFonts w:ascii="Roboto Light" w:eastAsia="Times New Roman" w:hAnsi="Roboto Light" w:cs="Arial"/>
                <w:kern w:val="0"/>
                <w:sz w:val="22"/>
                <w:szCs w:val="22"/>
                <w14:ligatures w14:val="none"/>
              </w:rPr>
              <w:t>7</w:t>
            </w:r>
          </w:p>
        </w:tc>
        <w:tc>
          <w:tcPr>
            <w:tcW w:w="2610" w:type="dxa"/>
            <w:noWrap/>
            <w:hideMark/>
          </w:tcPr>
          <w:p w14:paraId="784ABCBC" w14:textId="18CAA2BC" w:rsidR="003F1A98" w:rsidRPr="00020F77" w:rsidRDefault="008373E1" w:rsidP="003F1A98">
            <w:pPr>
              <w:jc w:val="center"/>
              <w:rPr>
                <w:rFonts w:ascii="Roboto Light" w:eastAsia="Times New Roman" w:hAnsi="Roboto Light" w:cs="Arial"/>
                <w:kern w:val="0"/>
                <w:sz w:val="22"/>
                <w:szCs w:val="22"/>
                <w14:ligatures w14:val="none"/>
              </w:rPr>
            </w:pPr>
            <w:r>
              <w:rPr>
                <w:rFonts w:ascii="Roboto Light" w:eastAsia="Times New Roman" w:hAnsi="Roboto Light" w:cs="Arial"/>
                <w:kern w:val="0"/>
                <w:sz w:val="22"/>
                <w:szCs w:val="22"/>
                <w14:ligatures w14:val="none"/>
              </w:rPr>
              <w:t>16</w:t>
            </w:r>
          </w:p>
        </w:tc>
        <w:tc>
          <w:tcPr>
            <w:tcW w:w="2210" w:type="dxa"/>
            <w:noWrap/>
            <w:hideMark/>
          </w:tcPr>
          <w:p w14:paraId="6637750D" w14:textId="77777777" w:rsidR="003F1A98" w:rsidRPr="00020F77" w:rsidRDefault="003F1A98" w:rsidP="008373E1">
            <w:pPr>
              <w:jc w:val="center"/>
              <w:rPr>
                <w:rFonts w:ascii="Roboto Light" w:eastAsia="Times New Roman" w:hAnsi="Roboto Light" w:cs="Arial"/>
                <w:kern w:val="0"/>
                <w:sz w:val="22"/>
                <w:szCs w:val="22"/>
                <w14:ligatures w14:val="none"/>
              </w:rPr>
            </w:pPr>
            <w:r>
              <w:rPr>
                <w:rFonts w:ascii="Roboto Light" w:eastAsia="Times New Roman" w:hAnsi="Roboto Light" w:cs="Arial"/>
                <w:kern w:val="0"/>
                <w:sz w:val="22"/>
                <w:szCs w:val="22"/>
                <w14:ligatures w14:val="none"/>
              </w:rPr>
              <w:t>323</w:t>
            </w:r>
          </w:p>
        </w:tc>
      </w:tr>
      <w:tr w:rsidR="00173153" w:rsidRPr="00020F77" w14:paraId="18F03D9A" w14:textId="77777777" w:rsidTr="00173153">
        <w:trPr>
          <w:trHeight w:val="264"/>
        </w:trPr>
        <w:tc>
          <w:tcPr>
            <w:tcW w:w="716" w:type="dxa"/>
          </w:tcPr>
          <w:p w14:paraId="22348247" w14:textId="77777777" w:rsidR="003F1A98" w:rsidRPr="00020F77" w:rsidRDefault="003F1A98" w:rsidP="003F1A98">
            <w:pPr>
              <w:pStyle w:val="ListParagraph"/>
              <w:numPr>
                <w:ilvl w:val="0"/>
                <w:numId w:val="9"/>
              </w:numPr>
              <w:rPr>
                <w:rFonts w:ascii="Roboto Light" w:eastAsia="Times New Roman" w:hAnsi="Roboto Light" w:cs="Arial"/>
                <w:kern w:val="0"/>
                <w:sz w:val="22"/>
                <w:szCs w:val="22"/>
                <w14:ligatures w14:val="none"/>
              </w:rPr>
            </w:pPr>
          </w:p>
        </w:tc>
        <w:tc>
          <w:tcPr>
            <w:tcW w:w="2583" w:type="dxa"/>
            <w:noWrap/>
          </w:tcPr>
          <w:p w14:paraId="537696AA" w14:textId="77777777" w:rsidR="003F1A98" w:rsidRPr="00020F77" w:rsidRDefault="003F1A98" w:rsidP="003F1A98">
            <w:pPr>
              <w:rPr>
                <w:rFonts w:ascii="Roboto Light" w:eastAsia="Times New Roman" w:hAnsi="Roboto Light" w:cs="Arial"/>
                <w:kern w:val="0"/>
                <w:sz w:val="22"/>
                <w:szCs w:val="22"/>
                <w14:ligatures w14:val="none"/>
              </w:rPr>
            </w:pPr>
            <w:r w:rsidRPr="00020F77">
              <w:rPr>
                <w:rFonts w:ascii="Roboto Light" w:eastAsia="Times New Roman" w:hAnsi="Roboto Light" w:cs="Arial"/>
                <w:kern w:val="0"/>
                <w:sz w:val="22"/>
                <w:szCs w:val="22"/>
                <w14:ligatures w14:val="none"/>
              </w:rPr>
              <w:t>Relief Emergencies Supplies</w:t>
            </w:r>
          </w:p>
        </w:tc>
        <w:tc>
          <w:tcPr>
            <w:tcW w:w="1736" w:type="dxa"/>
          </w:tcPr>
          <w:p w14:paraId="077ECC6E" w14:textId="371520F7" w:rsidR="003F1A98" w:rsidRDefault="00173153" w:rsidP="003F1A98">
            <w:pPr>
              <w:jc w:val="center"/>
              <w:rPr>
                <w:rFonts w:ascii="Roboto Light" w:eastAsia="Times New Roman" w:hAnsi="Roboto Light" w:cs="Arial"/>
                <w:kern w:val="0"/>
                <w:sz w:val="22"/>
                <w:szCs w:val="22"/>
                <w14:ligatures w14:val="none"/>
              </w:rPr>
            </w:pPr>
            <w:r>
              <w:rPr>
                <w:rFonts w:ascii="Roboto Light" w:eastAsia="Times New Roman" w:hAnsi="Roboto Light" w:cs="Arial"/>
                <w:kern w:val="0"/>
                <w:sz w:val="22"/>
                <w:szCs w:val="22"/>
                <w14:ligatures w14:val="none"/>
              </w:rPr>
              <w:t>6</w:t>
            </w:r>
          </w:p>
        </w:tc>
        <w:tc>
          <w:tcPr>
            <w:tcW w:w="2610" w:type="dxa"/>
            <w:noWrap/>
          </w:tcPr>
          <w:p w14:paraId="2675552E" w14:textId="2807A4A0" w:rsidR="003F1A98" w:rsidRPr="00020F77" w:rsidRDefault="001F5FA9" w:rsidP="003F1A98">
            <w:pPr>
              <w:jc w:val="center"/>
              <w:rPr>
                <w:rFonts w:ascii="Roboto Light" w:eastAsia="Times New Roman" w:hAnsi="Roboto Light" w:cs="Arial"/>
                <w:kern w:val="0"/>
                <w:sz w:val="22"/>
                <w:szCs w:val="22"/>
                <w14:ligatures w14:val="none"/>
              </w:rPr>
            </w:pPr>
            <w:r>
              <w:rPr>
                <w:rFonts w:ascii="Roboto Light" w:eastAsia="Times New Roman" w:hAnsi="Roboto Light" w:cs="Arial"/>
                <w:kern w:val="0"/>
                <w:sz w:val="22"/>
                <w:szCs w:val="22"/>
                <w14:ligatures w14:val="none"/>
              </w:rPr>
              <w:t>35</w:t>
            </w:r>
          </w:p>
        </w:tc>
        <w:tc>
          <w:tcPr>
            <w:tcW w:w="2210" w:type="dxa"/>
            <w:noWrap/>
          </w:tcPr>
          <w:p w14:paraId="7E51888B" w14:textId="77777777" w:rsidR="003F1A98" w:rsidRPr="00020F77" w:rsidRDefault="003F1A98" w:rsidP="008373E1">
            <w:pPr>
              <w:jc w:val="center"/>
              <w:rPr>
                <w:rFonts w:ascii="Roboto Light" w:eastAsia="Times New Roman" w:hAnsi="Roboto Light" w:cs="Arial"/>
                <w:kern w:val="0"/>
                <w:sz w:val="22"/>
                <w:szCs w:val="22"/>
                <w14:ligatures w14:val="none"/>
              </w:rPr>
            </w:pPr>
            <w:r>
              <w:rPr>
                <w:rFonts w:ascii="Roboto Light" w:eastAsia="Times New Roman" w:hAnsi="Roboto Light" w:cs="Arial"/>
                <w:kern w:val="0"/>
                <w:sz w:val="22"/>
                <w:szCs w:val="22"/>
                <w14:ligatures w14:val="none"/>
              </w:rPr>
              <w:t>134</w:t>
            </w:r>
          </w:p>
        </w:tc>
      </w:tr>
      <w:tr w:rsidR="00173153" w:rsidRPr="00020F77" w14:paraId="06F8AA7D" w14:textId="77777777" w:rsidTr="00173153">
        <w:trPr>
          <w:trHeight w:val="264"/>
        </w:trPr>
        <w:tc>
          <w:tcPr>
            <w:tcW w:w="716" w:type="dxa"/>
          </w:tcPr>
          <w:p w14:paraId="5377EF39" w14:textId="77777777" w:rsidR="003F1A98" w:rsidRPr="00020F77" w:rsidRDefault="003F1A98" w:rsidP="003F1A98">
            <w:pPr>
              <w:pStyle w:val="ListParagraph"/>
              <w:numPr>
                <w:ilvl w:val="0"/>
                <w:numId w:val="9"/>
              </w:numPr>
              <w:rPr>
                <w:rFonts w:ascii="Roboto Light" w:eastAsia="Times New Roman" w:hAnsi="Roboto Light" w:cs="Arial"/>
                <w:kern w:val="0"/>
                <w:sz w:val="22"/>
                <w:szCs w:val="22"/>
                <w14:ligatures w14:val="none"/>
              </w:rPr>
            </w:pPr>
          </w:p>
        </w:tc>
        <w:tc>
          <w:tcPr>
            <w:tcW w:w="2583" w:type="dxa"/>
            <w:noWrap/>
          </w:tcPr>
          <w:p w14:paraId="3B2132FA" w14:textId="77777777" w:rsidR="003F1A98" w:rsidRPr="00020F77" w:rsidRDefault="003F1A98" w:rsidP="003F1A98">
            <w:pPr>
              <w:rPr>
                <w:rFonts w:ascii="Roboto Light" w:eastAsia="Times New Roman" w:hAnsi="Roboto Light" w:cs="Arial"/>
                <w:kern w:val="0"/>
                <w:sz w:val="22"/>
                <w:szCs w:val="22"/>
                <w14:ligatures w14:val="none"/>
              </w:rPr>
            </w:pPr>
            <w:r w:rsidRPr="00020F77">
              <w:rPr>
                <w:rFonts w:ascii="Roboto Light" w:eastAsia="Times New Roman" w:hAnsi="Roboto Light" w:cs="Arial"/>
                <w:kern w:val="0"/>
                <w:sz w:val="22"/>
                <w:szCs w:val="22"/>
                <w14:ligatures w14:val="none"/>
              </w:rPr>
              <w:t>Relief Health</w:t>
            </w:r>
          </w:p>
        </w:tc>
        <w:tc>
          <w:tcPr>
            <w:tcW w:w="1736" w:type="dxa"/>
          </w:tcPr>
          <w:p w14:paraId="03AD6F6D" w14:textId="409E7660" w:rsidR="003F1A98" w:rsidRDefault="00173153" w:rsidP="003F1A98">
            <w:pPr>
              <w:jc w:val="center"/>
              <w:rPr>
                <w:rFonts w:ascii="Roboto Light" w:eastAsia="Times New Roman" w:hAnsi="Roboto Light" w:cs="Arial"/>
                <w:kern w:val="0"/>
                <w:sz w:val="22"/>
                <w:szCs w:val="22"/>
                <w14:ligatures w14:val="none"/>
              </w:rPr>
            </w:pPr>
            <w:r>
              <w:rPr>
                <w:rFonts w:ascii="Roboto Light" w:eastAsia="Times New Roman" w:hAnsi="Roboto Light" w:cs="Arial"/>
                <w:kern w:val="0"/>
                <w:sz w:val="22"/>
                <w:szCs w:val="22"/>
                <w14:ligatures w14:val="none"/>
              </w:rPr>
              <w:t>1</w:t>
            </w:r>
          </w:p>
        </w:tc>
        <w:tc>
          <w:tcPr>
            <w:tcW w:w="2610" w:type="dxa"/>
            <w:noWrap/>
          </w:tcPr>
          <w:p w14:paraId="2F984A77" w14:textId="1DA0BDED" w:rsidR="003F1A98" w:rsidRPr="00020F77" w:rsidRDefault="001F5FA9" w:rsidP="003F1A98">
            <w:pPr>
              <w:jc w:val="center"/>
              <w:rPr>
                <w:rFonts w:ascii="Roboto Light" w:eastAsia="Times New Roman" w:hAnsi="Roboto Light" w:cs="Arial"/>
                <w:kern w:val="0"/>
                <w:sz w:val="22"/>
                <w:szCs w:val="22"/>
                <w14:ligatures w14:val="none"/>
              </w:rPr>
            </w:pPr>
            <w:r>
              <w:rPr>
                <w:rFonts w:ascii="Roboto Light" w:eastAsia="Times New Roman" w:hAnsi="Roboto Light" w:cs="Arial"/>
                <w:kern w:val="0"/>
                <w:sz w:val="22"/>
                <w:szCs w:val="22"/>
                <w14:ligatures w14:val="none"/>
              </w:rPr>
              <w:t>4</w:t>
            </w:r>
          </w:p>
        </w:tc>
        <w:tc>
          <w:tcPr>
            <w:tcW w:w="2210" w:type="dxa"/>
            <w:noWrap/>
          </w:tcPr>
          <w:p w14:paraId="006D94F8" w14:textId="77777777" w:rsidR="003F1A98" w:rsidRPr="00020F77" w:rsidRDefault="003F1A98" w:rsidP="008373E1">
            <w:pPr>
              <w:jc w:val="center"/>
              <w:rPr>
                <w:rFonts w:ascii="Roboto Light" w:eastAsia="Times New Roman" w:hAnsi="Roboto Light" w:cs="Arial"/>
                <w:kern w:val="0"/>
                <w:sz w:val="22"/>
                <w:szCs w:val="22"/>
                <w14:ligatures w14:val="none"/>
              </w:rPr>
            </w:pPr>
            <w:r w:rsidRPr="00020F77">
              <w:rPr>
                <w:rFonts w:ascii="Roboto Light" w:eastAsia="Times New Roman" w:hAnsi="Roboto Light" w:cs="Arial"/>
                <w:kern w:val="0"/>
                <w:sz w:val="22"/>
                <w:szCs w:val="22"/>
                <w14:ligatures w14:val="none"/>
              </w:rPr>
              <w:t>20</w:t>
            </w:r>
          </w:p>
        </w:tc>
      </w:tr>
      <w:tr w:rsidR="00173153" w:rsidRPr="00020F77" w14:paraId="56507517" w14:textId="77777777" w:rsidTr="00173153">
        <w:trPr>
          <w:trHeight w:val="264"/>
        </w:trPr>
        <w:tc>
          <w:tcPr>
            <w:tcW w:w="716" w:type="dxa"/>
          </w:tcPr>
          <w:p w14:paraId="0CB14053" w14:textId="77777777" w:rsidR="003F1A98" w:rsidRPr="00020F77" w:rsidRDefault="003F1A98" w:rsidP="003F1A98">
            <w:pPr>
              <w:rPr>
                <w:rFonts w:ascii="Roboto Light" w:eastAsia="Times New Roman" w:hAnsi="Roboto Light" w:cs="Arial"/>
                <w:b/>
                <w:bCs/>
                <w:kern w:val="0"/>
                <w:sz w:val="22"/>
                <w:szCs w:val="22"/>
                <w14:ligatures w14:val="none"/>
              </w:rPr>
            </w:pPr>
          </w:p>
        </w:tc>
        <w:tc>
          <w:tcPr>
            <w:tcW w:w="2583" w:type="dxa"/>
            <w:noWrap/>
            <w:hideMark/>
          </w:tcPr>
          <w:p w14:paraId="06FD7700" w14:textId="77777777" w:rsidR="003F1A98" w:rsidRPr="00020F77" w:rsidRDefault="003F1A98" w:rsidP="003F1A98">
            <w:pPr>
              <w:rPr>
                <w:rFonts w:ascii="Roboto Light" w:eastAsia="Times New Roman" w:hAnsi="Roboto Light" w:cs="Arial"/>
                <w:b/>
                <w:bCs/>
                <w:kern w:val="0"/>
                <w:sz w:val="22"/>
                <w:szCs w:val="22"/>
                <w14:ligatures w14:val="none"/>
              </w:rPr>
            </w:pPr>
            <w:r w:rsidRPr="00020F77">
              <w:rPr>
                <w:rFonts w:ascii="Roboto Light" w:eastAsia="Times New Roman" w:hAnsi="Roboto Light" w:cs="Arial"/>
                <w:b/>
                <w:bCs/>
                <w:kern w:val="0"/>
                <w:sz w:val="22"/>
                <w:szCs w:val="22"/>
                <w14:ligatures w14:val="none"/>
              </w:rPr>
              <w:t>Grand Total</w:t>
            </w:r>
          </w:p>
        </w:tc>
        <w:tc>
          <w:tcPr>
            <w:tcW w:w="1736" w:type="dxa"/>
          </w:tcPr>
          <w:p w14:paraId="44CAF7BB" w14:textId="7CAAA63D" w:rsidR="003F1A98" w:rsidRDefault="008373E1" w:rsidP="003F1A98">
            <w:pPr>
              <w:jc w:val="center"/>
              <w:rPr>
                <w:rFonts w:ascii="Roboto Light" w:eastAsia="Times New Roman" w:hAnsi="Roboto Light" w:cs="Arial"/>
                <w:b/>
                <w:bCs/>
                <w:kern w:val="0"/>
                <w:sz w:val="22"/>
                <w:szCs w:val="22"/>
                <w14:ligatures w14:val="none"/>
              </w:rPr>
            </w:pPr>
            <w:r>
              <w:rPr>
                <w:rFonts w:ascii="Roboto Light" w:eastAsia="Times New Roman" w:hAnsi="Roboto Light" w:cs="Arial"/>
                <w:b/>
                <w:bCs/>
                <w:kern w:val="0"/>
                <w:sz w:val="22"/>
                <w:szCs w:val="22"/>
                <w14:ligatures w14:val="none"/>
              </w:rPr>
              <w:t>54</w:t>
            </w:r>
          </w:p>
        </w:tc>
        <w:tc>
          <w:tcPr>
            <w:tcW w:w="2610" w:type="dxa"/>
            <w:noWrap/>
            <w:hideMark/>
          </w:tcPr>
          <w:p w14:paraId="398E9005" w14:textId="339F2FF8" w:rsidR="003F1A98" w:rsidRPr="00020F77" w:rsidRDefault="001F6CA5" w:rsidP="003F1A98">
            <w:pPr>
              <w:jc w:val="center"/>
              <w:rPr>
                <w:rFonts w:ascii="Roboto Light" w:eastAsia="Times New Roman" w:hAnsi="Roboto Light" w:cs="Arial"/>
                <w:b/>
                <w:bCs/>
                <w:kern w:val="0"/>
                <w:sz w:val="22"/>
                <w:szCs w:val="22"/>
                <w14:ligatures w14:val="none"/>
              </w:rPr>
            </w:pPr>
            <w:r>
              <w:rPr>
                <w:rFonts w:ascii="Roboto Light" w:eastAsia="Times New Roman" w:hAnsi="Roboto Light" w:cs="Arial"/>
                <w:b/>
                <w:bCs/>
                <w:kern w:val="0"/>
                <w:sz w:val="22"/>
                <w:szCs w:val="22"/>
                <w14:ligatures w14:val="none"/>
              </w:rPr>
              <w:t>217</w:t>
            </w:r>
          </w:p>
        </w:tc>
        <w:tc>
          <w:tcPr>
            <w:tcW w:w="2210" w:type="dxa"/>
            <w:noWrap/>
            <w:hideMark/>
          </w:tcPr>
          <w:p w14:paraId="2D37F220" w14:textId="77777777" w:rsidR="003F1A98" w:rsidRPr="00020F77" w:rsidRDefault="003F1A98" w:rsidP="008373E1">
            <w:pPr>
              <w:jc w:val="center"/>
              <w:rPr>
                <w:rFonts w:ascii="Roboto Light" w:eastAsia="Times New Roman" w:hAnsi="Roboto Light" w:cs="Arial"/>
                <w:b/>
                <w:bCs/>
                <w:kern w:val="0"/>
                <w:sz w:val="22"/>
                <w:szCs w:val="22"/>
                <w14:ligatures w14:val="none"/>
              </w:rPr>
            </w:pPr>
            <w:r w:rsidRPr="00020F77">
              <w:rPr>
                <w:rFonts w:ascii="Roboto Light" w:eastAsia="Times New Roman" w:hAnsi="Roboto Light" w:cs="Arial"/>
                <w:b/>
                <w:bCs/>
                <w:kern w:val="0"/>
                <w:sz w:val="22"/>
                <w:szCs w:val="22"/>
                <w14:ligatures w14:val="none"/>
              </w:rPr>
              <w:t>3,</w:t>
            </w:r>
            <w:r>
              <w:rPr>
                <w:rFonts w:ascii="Roboto Light" w:eastAsia="Times New Roman" w:hAnsi="Roboto Light" w:cs="Arial"/>
                <w:b/>
                <w:bCs/>
                <w:kern w:val="0"/>
                <w:sz w:val="22"/>
                <w:szCs w:val="22"/>
                <w14:ligatures w14:val="none"/>
              </w:rPr>
              <w:t>758</w:t>
            </w:r>
          </w:p>
        </w:tc>
      </w:tr>
    </w:tbl>
    <w:p w14:paraId="56996D3C" w14:textId="7C6DF4C3" w:rsidR="0056687B" w:rsidRPr="00020F77" w:rsidRDefault="0056687B" w:rsidP="000C164C">
      <w:pPr>
        <w:pStyle w:val="Default"/>
        <w:spacing w:after="89" w:line="276" w:lineRule="auto"/>
        <w:jc w:val="center"/>
        <w:rPr>
          <w:rFonts w:ascii="Roboto Light" w:eastAsia="Times New Roman" w:hAnsi="Roboto Light" w:cs="Arial"/>
          <w:b/>
          <w:bCs/>
          <w:color w:val="auto"/>
          <w:sz w:val="20"/>
          <w:szCs w:val="20"/>
          <w14:ligatures w14:val="none"/>
        </w:rPr>
      </w:pPr>
      <w:r w:rsidRPr="00020F77">
        <w:rPr>
          <w:rFonts w:ascii="Roboto Light" w:eastAsia="Times New Roman" w:hAnsi="Roboto Light" w:cs="Arial"/>
          <w:b/>
          <w:bCs/>
          <w:color w:val="auto"/>
          <w:sz w:val="20"/>
          <w:szCs w:val="20"/>
          <w14:ligatures w14:val="none"/>
        </w:rPr>
        <w:t>Table 1: Subsector Approvals of Health Sector Interventions 201</w:t>
      </w:r>
      <w:r w:rsidR="007F2A80" w:rsidRPr="00020F77">
        <w:rPr>
          <w:rFonts w:ascii="Roboto Light" w:eastAsia="Times New Roman" w:hAnsi="Roboto Light" w:cs="Arial"/>
          <w:b/>
          <w:bCs/>
          <w:color w:val="auto"/>
          <w:sz w:val="20"/>
          <w:szCs w:val="20"/>
          <w14:ligatures w14:val="none"/>
        </w:rPr>
        <w:t>5</w:t>
      </w:r>
      <w:r w:rsidRPr="00020F77">
        <w:rPr>
          <w:rFonts w:ascii="Roboto Light" w:eastAsia="Times New Roman" w:hAnsi="Roboto Light" w:cs="Arial"/>
          <w:b/>
          <w:bCs/>
          <w:color w:val="auto"/>
          <w:sz w:val="20"/>
          <w:szCs w:val="20"/>
          <w14:ligatures w14:val="none"/>
        </w:rPr>
        <w:t>-2024</w:t>
      </w:r>
    </w:p>
    <w:p w14:paraId="403E9CF4" w14:textId="77777777" w:rsidR="00DA1BB0" w:rsidRDefault="00DA1BB0" w:rsidP="000C164C">
      <w:pPr>
        <w:pStyle w:val="Default"/>
        <w:spacing w:after="89" w:line="276" w:lineRule="auto"/>
        <w:jc w:val="center"/>
        <w:rPr>
          <w:rFonts w:ascii="Roboto Light" w:eastAsia="Times New Roman" w:hAnsi="Roboto Light" w:cs="Arial"/>
          <w:b/>
          <w:bCs/>
          <w:sz w:val="20"/>
          <w:szCs w:val="20"/>
          <w14:ligatures w14:val="none"/>
        </w:rPr>
      </w:pPr>
    </w:p>
    <w:p w14:paraId="1F083CB4" w14:textId="5259A1D8" w:rsidR="006D7CD0" w:rsidRDefault="00F14868" w:rsidP="008B6E54">
      <w:pPr>
        <w:pStyle w:val="Default"/>
        <w:spacing w:after="89" w:line="276" w:lineRule="auto"/>
        <w:jc w:val="center"/>
        <w:rPr>
          <w:i/>
          <w:iCs/>
          <w:color w:val="auto"/>
          <w:sz w:val="22"/>
          <w:szCs w:val="22"/>
        </w:rPr>
      </w:pPr>
      <w:r w:rsidRPr="00C46139">
        <w:rPr>
          <w:color w:val="auto"/>
          <w:sz w:val="22"/>
          <w:szCs w:val="22"/>
        </w:rPr>
        <w:t xml:space="preserve">Figure </w:t>
      </w:r>
      <w:r w:rsidRPr="00C46139">
        <w:rPr>
          <w:i/>
          <w:iCs/>
          <w:color w:val="auto"/>
          <w:sz w:val="22"/>
          <w:szCs w:val="22"/>
        </w:rPr>
        <w:fldChar w:fldCharType="begin"/>
      </w:r>
      <w:r w:rsidRPr="00C46139">
        <w:rPr>
          <w:color w:val="auto"/>
          <w:sz w:val="22"/>
          <w:szCs w:val="22"/>
        </w:rPr>
        <w:instrText xml:space="preserve"> SEQ Figure \* ARABIC </w:instrText>
      </w:r>
      <w:r w:rsidRPr="00C46139">
        <w:rPr>
          <w:i/>
          <w:iCs/>
          <w:color w:val="auto"/>
          <w:sz w:val="22"/>
          <w:szCs w:val="22"/>
        </w:rPr>
        <w:fldChar w:fldCharType="separate"/>
      </w:r>
      <w:r w:rsidRPr="00C46139">
        <w:rPr>
          <w:color w:val="auto"/>
          <w:sz w:val="22"/>
          <w:szCs w:val="22"/>
        </w:rPr>
        <w:t>2</w:t>
      </w:r>
      <w:r w:rsidRPr="00C46139">
        <w:rPr>
          <w:i/>
          <w:iCs/>
          <w:color w:val="auto"/>
          <w:sz w:val="22"/>
          <w:szCs w:val="22"/>
        </w:rPr>
        <w:fldChar w:fldCharType="end"/>
      </w:r>
      <w:r w:rsidR="006D7CD0" w:rsidRPr="00C46139">
        <w:rPr>
          <w:color w:val="auto"/>
          <w:sz w:val="22"/>
          <w:szCs w:val="22"/>
        </w:rPr>
        <w:t xml:space="preserve">: </w:t>
      </w:r>
      <w:r w:rsidR="0048138A" w:rsidRPr="00C46139">
        <w:rPr>
          <w:color w:val="auto"/>
          <w:sz w:val="22"/>
          <w:szCs w:val="22"/>
        </w:rPr>
        <w:t>Regional Hub Analys of Health Sector Interventions 201</w:t>
      </w:r>
      <w:r w:rsidR="00787965" w:rsidRPr="00C46139">
        <w:rPr>
          <w:color w:val="auto"/>
          <w:sz w:val="22"/>
          <w:szCs w:val="22"/>
        </w:rPr>
        <w:t>5</w:t>
      </w:r>
      <w:r w:rsidR="0048138A" w:rsidRPr="00C46139">
        <w:rPr>
          <w:color w:val="auto"/>
          <w:sz w:val="22"/>
          <w:szCs w:val="22"/>
        </w:rPr>
        <w:t>-2024</w:t>
      </w:r>
    </w:p>
    <w:p w14:paraId="62FF7096" w14:textId="395493E0" w:rsidR="00966EC6" w:rsidRDefault="00C212E7" w:rsidP="00C46139">
      <w:pPr>
        <w:jc w:val="center"/>
      </w:pPr>
      <w:r>
        <w:rPr>
          <w:noProof/>
        </w:rPr>
        <w:drawing>
          <wp:inline distT="0" distB="0" distL="0" distR="0" wp14:anchorId="7CB9D25C" wp14:editId="2EB5279D">
            <wp:extent cx="4572000" cy="2743200"/>
            <wp:effectExtent l="0" t="0" r="0" b="0"/>
            <wp:docPr id="816886421" name="Chart 1">
              <a:extLst xmlns:a="http://schemas.openxmlformats.org/drawingml/2006/main">
                <a:ext uri="{FF2B5EF4-FFF2-40B4-BE49-F238E27FC236}">
                  <a16:creationId xmlns:a16="http://schemas.microsoft.com/office/drawing/2014/main" id="{73D63399-EF22-FBD9-8417-E1FDC5C6194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AD8E6AD" w14:textId="77777777" w:rsidR="00966EC6" w:rsidRDefault="00966EC6" w:rsidP="00966EC6"/>
    <w:p w14:paraId="13F772D4" w14:textId="42D50F46" w:rsidR="00966EC6" w:rsidRPr="0012689F" w:rsidRDefault="00966EC6" w:rsidP="00957354">
      <w:pPr>
        <w:pStyle w:val="Default"/>
        <w:numPr>
          <w:ilvl w:val="1"/>
          <w:numId w:val="4"/>
        </w:numPr>
        <w:spacing w:after="89" w:line="276" w:lineRule="auto"/>
        <w:ind w:left="0" w:firstLine="0"/>
        <w:jc w:val="both"/>
        <w:rPr>
          <w:rFonts w:ascii="Roboto Light" w:hAnsi="Roboto Light"/>
          <w:sz w:val="22"/>
          <w:szCs w:val="22"/>
        </w:rPr>
      </w:pPr>
      <w:r w:rsidRPr="0012689F">
        <w:rPr>
          <w:rFonts w:ascii="Roboto Light" w:hAnsi="Roboto Light"/>
          <w:sz w:val="22"/>
          <w:szCs w:val="22"/>
        </w:rPr>
        <w:t xml:space="preserve">Regional analysis shows that Jakarta Regional Hub accounted for the largest share, managing approximately </w:t>
      </w:r>
      <w:r w:rsidR="00C26653" w:rsidRPr="0012689F">
        <w:rPr>
          <w:rFonts w:ascii="Roboto Light" w:hAnsi="Roboto Light"/>
          <w:sz w:val="22"/>
          <w:szCs w:val="22"/>
        </w:rPr>
        <w:t>36</w:t>
      </w:r>
      <w:r w:rsidRPr="0012689F">
        <w:rPr>
          <w:rFonts w:ascii="Roboto Light" w:hAnsi="Roboto Light"/>
          <w:sz w:val="22"/>
          <w:szCs w:val="22"/>
        </w:rPr>
        <w:t xml:space="preserve">% of total approved health financing, largely driven by significant investments in Indonesia. This was followed by the Ankara and Almaty hubs, which accounted for roughly </w:t>
      </w:r>
      <w:r w:rsidR="005660B2" w:rsidRPr="0012689F">
        <w:rPr>
          <w:rFonts w:ascii="Roboto Light" w:hAnsi="Roboto Light"/>
          <w:sz w:val="22"/>
          <w:szCs w:val="22"/>
        </w:rPr>
        <w:t>19</w:t>
      </w:r>
      <w:r w:rsidRPr="0012689F">
        <w:rPr>
          <w:rFonts w:ascii="Roboto Light" w:hAnsi="Roboto Light"/>
          <w:sz w:val="22"/>
          <w:szCs w:val="22"/>
        </w:rPr>
        <w:t xml:space="preserve">% and </w:t>
      </w:r>
      <w:r w:rsidR="00291007" w:rsidRPr="0012689F">
        <w:rPr>
          <w:rFonts w:ascii="Roboto Light" w:hAnsi="Roboto Light"/>
          <w:sz w:val="22"/>
          <w:szCs w:val="22"/>
        </w:rPr>
        <w:t>11</w:t>
      </w:r>
      <w:r w:rsidRPr="0012689F">
        <w:rPr>
          <w:rFonts w:ascii="Roboto Light" w:hAnsi="Roboto Light"/>
          <w:sz w:val="22"/>
          <w:szCs w:val="22"/>
        </w:rPr>
        <w:t xml:space="preserve">%, respectively, reflecting substantial engagement in Eastern Europe and </w:t>
      </w:r>
      <w:r w:rsidR="00764416" w:rsidRPr="0012689F">
        <w:rPr>
          <w:rFonts w:ascii="Roboto Light" w:hAnsi="Roboto Light"/>
          <w:sz w:val="22"/>
          <w:szCs w:val="22"/>
        </w:rPr>
        <w:t xml:space="preserve">West and Central Africa </w:t>
      </w:r>
      <w:r w:rsidRPr="0012689F">
        <w:rPr>
          <w:rFonts w:ascii="Roboto Light" w:hAnsi="Roboto Light"/>
          <w:sz w:val="22"/>
          <w:szCs w:val="22"/>
        </w:rPr>
        <w:t xml:space="preserve">region. </w:t>
      </w:r>
      <w:r w:rsidR="0012689F" w:rsidRPr="0012689F">
        <w:rPr>
          <w:rFonts w:ascii="Roboto Light" w:hAnsi="Roboto Light"/>
          <w:sz w:val="22"/>
          <w:szCs w:val="22"/>
        </w:rPr>
        <w:t xml:space="preserve"> </w:t>
      </w:r>
    </w:p>
    <w:p w14:paraId="16FCFCDE" w14:textId="51E2D777" w:rsidR="00966EC6" w:rsidRPr="0012689F" w:rsidRDefault="0012689F" w:rsidP="00957354">
      <w:pPr>
        <w:pStyle w:val="Default"/>
        <w:numPr>
          <w:ilvl w:val="1"/>
          <w:numId w:val="4"/>
        </w:numPr>
        <w:spacing w:after="89" w:line="276" w:lineRule="auto"/>
        <w:ind w:left="0" w:firstLine="0"/>
        <w:jc w:val="both"/>
        <w:rPr>
          <w:rFonts w:ascii="Roboto Light" w:hAnsi="Roboto Light"/>
          <w:sz w:val="22"/>
          <w:szCs w:val="22"/>
        </w:rPr>
      </w:pPr>
      <w:r w:rsidRPr="0012689F">
        <w:rPr>
          <w:rFonts w:ascii="Roboto Light" w:hAnsi="Roboto Light"/>
          <w:sz w:val="22"/>
          <w:szCs w:val="22"/>
        </w:rPr>
        <w:t>A</w:t>
      </w:r>
      <w:r w:rsidR="00966EC6" w:rsidRPr="0012689F">
        <w:rPr>
          <w:rFonts w:ascii="Roboto Light" w:hAnsi="Roboto Light"/>
          <w:sz w:val="22"/>
          <w:szCs w:val="22"/>
        </w:rPr>
        <w:t xml:space="preserve">pproximately </w:t>
      </w:r>
      <w:r w:rsidRPr="0012689F">
        <w:rPr>
          <w:rFonts w:ascii="Roboto Light" w:hAnsi="Roboto Light"/>
          <w:sz w:val="22"/>
          <w:szCs w:val="22"/>
        </w:rPr>
        <w:t>2</w:t>
      </w:r>
      <w:r w:rsidR="00966EC6" w:rsidRPr="0012689F">
        <w:rPr>
          <w:rFonts w:ascii="Roboto Light" w:hAnsi="Roboto Light"/>
          <w:sz w:val="22"/>
          <w:szCs w:val="22"/>
        </w:rPr>
        <w:t>%</w:t>
      </w:r>
      <w:r w:rsidRPr="0012689F">
        <w:rPr>
          <w:rFonts w:ascii="Roboto Light" w:hAnsi="Roboto Light"/>
          <w:sz w:val="22"/>
          <w:szCs w:val="22"/>
        </w:rPr>
        <w:t xml:space="preserve"> were</w:t>
      </w:r>
      <w:r w:rsidR="00966EC6" w:rsidRPr="0012689F">
        <w:rPr>
          <w:rFonts w:ascii="Roboto Light" w:hAnsi="Roboto Light"/>
          <w:sz w:val="22"/>
          <w:szCs w:val="22"/>
        </w:rPr>
        <w:t xml:space="preserve"> allocated to non-member countries, highlighting IsDB’s inclusive approach and its responsiveness to global health crises, particularly through emergency response and technical cooperation initiatives. These interventions in non-member states often target fragile </w:t>
      </w:r>
      <w:r w:rsidR="00966EC6" w:rsidRPr="0012689F">
        <w:rPr>
          <w:rFonts w:ascii="Roboto Light" w:hAnsi="Roboto Light"/>
          <w:sz w:val="22"/>
          <w:szCs w:val="22"/>
        </w:rPr>
        <w:lastRenderedPageBreak/>
        <w:t>or underserved contexts and reflect IsDB’s broader humanitarian mandate and global solidarity, especially during pandemics and disaster relief efforts.</w:t>
      </w:r>
    </w:p>
    <w:p w14:paraId="071506DA" w14:textId="4884AB73" w:rsidR="00222717" w:rsidRPr="0058612B" w:rsidRDefault="00A4647A" w:rsidP="00957354">
      <w:pPr>
        <w:pStyle w:val="Default"/>
        <w:numPr>
          <w:ilvl w:val="1"/>
          <w:numId w:val="4"/>
        </w:numPr>
        <w:spacing w:after="89" w:line="276" w:lineRule="auto"/>
        <w:ind w:left="0" w:firstLine="0"/>
        <w:jc w:val="both"/>
        <w:rPr>
          <w:rFonts w:ascii="Roboto Light" w:hAnsi="Roboto Light"/>
          <w:sz w:val="22"/>
          <w:szCs w:val="22"/>
        </w:rPr>
      </w:pPr>
      <w:r w:rsidRPr="0058612B">
        <w:rPr>
          <w:rFonts w:ascii="Roboto Light" w:hAnsi="Roboto Light"/>
          <w:sz w:val="22"/>
          <w:szCs w:val="22"/>
        </w:rPr>
        <w:t xml:space="preserve">A 2017 “Synthesis Report on Evaluation of IDBG Interventions in the Health Sector” </w:t>
      </w:r>
      <w:r w:rsidR="00787965" w:rsidRPr="0058612B">
        <w:rPr>
          <w:rFonts w:ascii="Roboto Light" w:hAnsi="Roboto Light"/>
          <w:sz w:val="22"/>
          <w:szCs w:val="22"/>
        </w:rPr>
        <w:t>recommended developing health sector policies and guidelines to link financing to high-impact interventions, undertaking thorough assessments with effective policy dialogue, ensuring accurate feasibility studies before approval to guarantee sustainability, enhancing capacity building of executing agencies, and implementing appropriate strategies for recruitment and retention of medical personnel.</w:t>
      </w:r>
      <w:r w:rsidR="004C4271" w:rsidRPr="0058612B">
        <w:rPr>
          <w:rFonts w:ascii="Roboto Light" w:hAnsi="Roboto Light"/>
          <w:sz w:val="22"/>
          <w:szCs w:val="22"/>
        </w:rPr>
        <w:t xml:space="preserve"> </w:t>
      </w:r>
      <w:r w:rsidR="009749C7" w:rsidRPr="0058612B">
        <w:rPr>
          <w:rFonts w:ascii="Roboto Light" w:hAnsi="Roboto Light"/>
          <w:sz w:val="22"/>
          <w:szCs w:val="22"/>
        </w:rPr>
        <w:t xml:space="preserve">As </w:t>
      </w:r>
      <w:r w:rsidR="00787965" w:rsidRPr="0058612B">
        <w:rPr>
          <w:rFonts w:ascii="Roboto Light" w:hAnsi="Roboto Light"/>
          <w:sz w:val="22"/>
          <w:szCs w:val="22"/>
        </w:rPr>
        <w:t xml:space="preserve">a </w:t>
      </w:r>
      <w:r w:rsidR="009749C7" w:rsidRPr="0058612B">
        <w:rPr>
          <w:rFonts w:ascii="Roboto Light" w:hAnsi="Roboto Light"/>
          <w:sz w:val="22"/>
          <w:szCs w:val="22"/>
        </w:rPr>
        <w:t>response to the main recommendation, the IsDB Health Sector Policy was developed in December 2019 to guide IsDB interventions in the health sector</w:t>
      </w:r>
      <w:r w:rsidR="0052216F" w:rsidRPr="0058612B">
        <w:rPr>
          <w:rFonts w:ascii="Roboto Light" w:hAnsi="Roboto Light"/>
          <w:sz w:val="22"/>
          <w:szCs w:val="22"/>
        </w:rPr>
        <w:t xml:space="preserve"> w</w:t>
      </w:r>
      <w:r w:rsidR="001C1D59" w:rsidRPr="0058612B">
        <w:rPr>
          <w:rFonts w:ascii="Roboto Light" w:hAnsi="Roboto Light"/>
          <w:sz w:val="22"/>
          <w:szCs w:val="22"/>
        </w:rPr>
        <w:t xml:space="preserve">ith the theme “Affordable quality health services for human development”. </w:t>
      </w:r>
    </w:p>
    <w:p w14:paraId="7A1F2661" w14:textId="77777777" w:rsidR="00787965" w:rsidRPr="0058612B" w:rsidRDefault="00787965" w:rsidP="00957354">
      <w:pPr>
        <w:pStyle w:val="Default"/>
        <w:numPr>
          <w:ilvl w:val="1"/>
          <w:numId w:val="4"/>
        </w:numPr>
        <w:spacing w:after="89" w:line="276" w:lineRule="auto"/>
        <w:ind w:left="0" w:firstLine="0"/>
        <w:jc w:val="both"/>
        <w:rPr>
          <w:rFonts w:ascii="Roboto Light" w:hAnsi="Roboto Light"/>
          <w:sz w:val="22"/>
          <w:szCs w:val="22"/>
        </w:rPr>
      </w:pPr>
      <w:r w:rsidRPr="0058612B">
        <w:rPr>
          <w:rFonts w:ascii="Roboto Light" w:hAnsi="Roboto Light"/>
          <w:sz w:val="22"/>
          <w:szCs w:val="22"/>
        </w:rPr>
        <w:t>The Health Sector Policy was formulated around six pillars that align with SDG-3 and are consistent with the OIC Strategic Health Program of Action (SHPA) 2014-2023, the President's Five-Year Program (P5P), and IsDB's 10-Year Strategy (10YS). The policy is anchored on five mandatory enablers to ensure effective operationalization and implementation.</w:t>
      </w:r>
    </w:p>
    <w:p w14:paraId="18105DBD" w14:textId="677B833B" w:rsidR="00787965" w:rsidRPr="006C7CC4" w:rsidRDefault="00787965" w:rsidP="00957354">
      <w:pPr>
        <w:pStyle w:val="Default"/>
        <w:numPr>
          <w:ilvl w:val="1"/>
          <w:numId w:val="4"/>
        </w:numPr>
        <w:spacing w:after="89" w:line="276" w:lineRule="auto"/>
        <w:ind w:left="0" w:firstLine="0"/>
        <w:jc w:val="both"/>
        <w:rPr>
          <w:rFonts w:ascii="Roboto Light" w:hAnsi="Roboto Light"/>
          <w:sz w:val="22"/>
          <w:szCs w:val="22"/>
        </w:rPr>
      </w:pPr>
      <w:r w:rsidRPr="0058612B">
        <w:rPr>
          <w:rFonts w:ascii="Roboto Light" w:hAnsi="Roboto Light"/>
          <w:sz w:val="22"/>
          <w:szCs w:val="22"/>
        </w:rPr>
        <w:t>The six pillars focus on</w:t>
      </w:r>
      <w:r w:rsidR="0073460A">
        <w:rPr>
          <w:rFonts w:ascii="Roboto Light" w:hAnsi="Roboto Light"/>
          <w:sz w:val="22"/>
          <w:szCs w:val="22"/>
        </w:rPr>
        <w:t xml:space="preserve"> the followings</w:t>
      </w:r>
      <w:r w:rsidRPr="0058612B">
        <w:rPr>
          <w:rFonts w:ascii="Roboto Light" w:hAnsi="Roboto Light"/>
          <w:sz w:val="22"/>
          <w:szCs w:val="22"/>
        </w:rPr>
        <w:t>: (1) target vulnerable and poor populations, (2) prioritiz</w:t>
      </w:r>
      <w:r w:rsidR="0073460A">
        <w:rPr>
          <w:rFonts w:ascii="Roboto Light" w:hAnsi="Roboto Light"/>
          <w:sz w:val="22"/>
          <w:szCs w:val="22"/>
        </w:rPr>
        <w:t>e</w:t>
      </w:r>
      <w:r w:rsidRPr="0058612B">
        <w:rPr>
          <w:rFonts w:ascii="Roboto Light" w:hAnsi="Roboto Light"/>
          <w:sz w:val="22"/>
          <w:szCs w:val="22"/>
        </w:rPr>
        <w:t xml:space="preserve"> strengthened primary healthcare delivery and prevention, (3) support national health financing initiatives to achieve universal health coverage, (4) impact-investment to achieve "Health-</w:t>
      </w:r>
      <w:r w:rsidRPr="006C7CC4">
        <w:rPr>
          <w:rFonts w:ascii="Roboto Light" w:hAnsi="Roboto Light"/>
          <w:sz w:val="22"/>
          <w:szCs w:val="22"/>
        </w:rPr>
        <w:t>in-All-Policies," (5) innovative financing for health projects and programs, and (6) improv</w:t>
      </w:r>
      <w:r w:rsidR="0073460A" w:rsidRPr="006C7CC4">
        <w:rPr>
          <w:rFonts w:ascii="Roboto Light" w:hAnsi="Roboto Light"/>
          <w:sz w:val="22"/>
          <w:szCs w:val="22"/>
        </w:rPr>
        <w:t>e</w:t>
      </w:r>
      <w:r w:rsidRPr="006C7CC4">
        <w:rPr>
          <w:rFonts w:ascii="Roboto Light" w:hAnsi="Roboto Light"/>
          <w:sz w:val="22"/>
          <w:szCs w:val="22"/>
        </w:rPr>
        <w:t xml:space="preserve"> IsDB governance and capacity building for health.</w:t>
      </w:r>
    </w:p>
    <w:p w14:paraId="2FB28ABB" w14:textId="273B4137" w:rsidR="00552077" w:rsidRPr="0058612B" w:rsidRDefault="00787965" w:rsidP="00957354">
      <w:pPr>
        <w:pStyle w:val="Default"/>
        <w:numPr>
          <w:ilvl w:val="1"/>
          <w:numId w:val="4"/>
        </w:numPr>
        <w:spacing w:after="89" w:line="276" w:lineRule="auto"/>
        <w:ind w:left="0" w:firstLine="0"/>
        <w:jc w:val="both"/>
        <w:rPr>
          <w:rFonts w:ascii="Roboto Light" w:hAnsi="Roboto Light"/>
          <w:sz w:val="22"/>
          <w:szCs w:val="22"/>
        </w:rPr>
      </w:pPr>
      <w:r w:rsidRPr="0058612B">
        <w:rPr>
          <w:rFonts w:ascii="Roboto Light" w:hAnsi="Roboto Light"/>
          <w:sz w:val="22"/>
          <w:szCs w:val="22"/>
        </w:rPr>
        <w:t>The five enablers are: equity to leave no one behind, partnership and improved collaboration, research and development, regional and country differentiation, and sustainable solutions.</w:t>
      </w:r>
      <w:r w:rsidR="000D1C0E" w:rsidRPr="0058612B">
        <w:rPr>
          <w:rFonts w:ascii="Roboto Light" w:hAnsi="Roboto Light"/>
          <w:sz w:val="22"/>
          <w:szCs w:val="22"/>
        </w:rPr>
        <w:t xml:space="preserve"> </w:t>
      </w:r>
    </w:p>
    <w:p w14:paraId="53EE82A3" w14:textId="237F9497" w:rsidR="00627709" w:rsidRPr="0058612B" w:rsidRDefault="00C47426" w:rsidP="00957354">
      <w:pPr>
        <w:pStyle w:val="Heading2"/>
        <w:numPr>
          <w:ilvl w:val="0"/>
          <w:numId w:val="4"/>
        </w:numPr>
      </w:pPr>
      <w:bookmarkStart w:id="4" w:name="_Toc203985428"/>
      <w:r w:rsidRPr="0058612B">
        <w:t>Purpose and Objectives of the Assignment</w:t>
      </w:r>
      <w:bookmarkEnd w:id="4"/>
      <w:r w:rsidRPr="0058612B">
        <w:t xml:space="preserve"> </w:t>
      </w:r>
    </w:p>
    <w:p w14:paraId="6FB32B22" w14:textId="31DDDA78" w:rsidR="00FA337D" w:rsidRPr="004B7617" w:rsidRDefault="00C56F9F" w:rsidP="00957354">
      <w:pPr>
        <w:pStyle w:val="Default"/>
        <w:numPr>
          <w:ilvl w:val="1"/>
          <w:numId w:val="4"/>
        </w:numPr>
        <w:spacing w:after="89" w:line="276" w:lineRule="auto"/>
        <w:ind w:left="0" w:firstLine="0"/>
        <w:jc w:val="both"/>
        <w:rPr>
          <w:rFonts w:ascii="Roboto Light" w:hAnsi="Roboto Light"/>
          <w:sz w:val="22"/>
          <w:szCs w:val="22"/>
        </w:rPr>
      </w:pPr>
      <w:r w:rsidRPr="004B7617">
        <w:rPr>
          <w:rFonts w:ascii="Roboto Light" w:hAnsi="Roboto Light"/>
          <w:sz w:val="22"/>
          <w:szCs w:val="22"/>
        </w:rPr>
        <w:t>The primary purpose of this assignment is to conduct a comprehensive assessment of IsDB's interventions in the health sector, over the period 2015-2024, which encompasses policies, strategies, programs, projects, and operations, and assess their implementation and results</w:t>
      </w:r>
      <w:r w:rsidR="00DA4F5E" w:rsidRPr="004B7617">
        <w:rPr>
          <w:rFonts w:ascii="Roboto Light" w:hAnsi="Roboto Light"/>
          <w:sz w:val="22"/>
          <w:szCs w:val="22"/>
        </w:rPr>
        <w:t xml:space="preserve">. </w:t>
      </w:r>
      <w:r w:rsidR="00FA337D" w:rsidRPr="004B7617">
        <w:rPr>
          <w:rFonts w:ascii="Roboto Light" w:hAnsi="Roboto Light"/>
          <w:sz w:val="22"/>
          <w:szCs w:val="22"/>
        </w:rPr>
        <w:t xml:space="preserve">The evaluation aims to generate evidence on the relevance, effectiveness, efficiency, </w:t>
      </w:r>
      <w:r w:rsidR="00E07D95" w:rsidRPr="004B7617">
        <w:rPr>
          <w:rFonts w:ascii="Roboto Light" w:hAnsi="Roboto Light"/>
          <w:sz w:val="22"/>
          <w:szCs w:val="22"/>
        </w:rPr>
        <w:t xml:space="preserve">and </w:t>
      </w:r>
      <w:r w:rsidR="00FA337D" w:rsidRPr="004B7617">
        <w:rPr>
          <w:rFonts w:ascii="Roboto Light" w:hAnsi="Roboto Light"/>
          <w:sz w:val="22"/>
          <w:szCs w:val="22"/>
        </w:rPr>
        <w:t xml:space="preserve">sustainability of IsDB's health sector investments, while identifying lessons and </w:t>
      </w:r>
      <w:r w:rsidR="00E07D95" w:rsidRPr="004B7617">
        <w:rPr>
          <w:rFonts w:ascii="Roboto Light" w:hAnsi="Roboto Light"/>
          <w:sz w:val="22"/>
          <w:szCs w:val="22"/>
        </w:rPr>
        <w:t>recommendations</w:t>
      </w:r>
      <w:r w:rsidR="00FA337D" w:rsidRPr="004B7617">
        <w:rPr>
          <w:rFonts w:ascii="Roboto Light" w:hAnsi="Roboto Light"/>
          <w:sz w:val="22"/>
          <w:szCs w:val="22"/>
        </w:rPr>
        <w:t xml:space="preserve"> to enhance future support in the sector. The specific objectives of this evaluation include the following: </w:t>
      </w:r>
    </w:p>
    <w:p w14:paraId="478AA665" w14:textId="29ABB938" w:rsidR="00FA337D" w:rsidRPr="00D97FAB" w:rsidRDefault="00FA337D" w:rsidP="00957354">
      <w:pPr>
        <w:pStyle w:val="Default"/>
        <w:numPr>
          <w:ilvl w:val="2"/>
          <w:numId w:val="6"/>
        </w:numPr>
        <w:spacing w:after="120"/>
        <w:jc w:val="both"/>
        <w:rPr>
          <w:rFonts w:ascii="Roboto Light" w:hAnsi="Roboto Light"/>
          <w:sz w:val="22"/>
          <w:szCs w:val="22"/>
        </w:rPr>
      </w:pPr>
      <w:r w:rsidRPr="00D97FAB">
        <w:rPr>
          <w:rFonts w:ascii="Roboto Light" w:hAnsi="Roboto Light"/>
          <w:sz w:val="22"/>
          <w:szCs w:val="22"/>
        </w:rPr>
        <w:t xml:space="preserve">Evaluating the alignment of the IsDB </w:t>
      </w:r>
      <w:r>
        <w:rPr>
          <w:rFonts w:ascii="Roboto Light" w:hAnsi="Roboto Light"/>
          <w:sz w:val="22"/>
          <w:szCs w:val="22"/>
        </w:rPr>
        <w:t>health</w:t>
      </w:r>
      <w:r w:rsidRPr="00A22D14">
        <w:rPr>
          <w:rFonts w:ascii="Roboto Light" w:hAnsi="Roboto Light"/>
          <w:sz w:val="22"/>
          <w:szCs w:val="22"/>
        </w:rPr>
        <w:t xml:space="preserve"> policy and strategy and IsDB's operations and initiatives in the </w:t>
      </w:r>
      <w:r w:rsidR="00E66301">
        <w:rPr>
          <w:rFonts w:ascii="Roboto Light" w:hAnsi="Roboto Light"/>
          <w:sz w:val="22"/>
          <w:szCs w:val="22"/>
        </w:rPr>
        <w:t>health</w:t>
      </w:r>
      <w:r w:rsidRPr="00A22D14">
        <w:rPr>
          <w:rFonts w:ascii="Roboto Light" w:hAnsi="Roboto Light"/>
          <w:sz w:val="22"/>
          <w:szCs w:val="22"/>
        </w:rPr>
        <w:t xml:space="preserve"> sector with the </w:t>
      </w:r>
      <w:r w:rsidR="00D5363A">
        <w:rPr>
          <w:rFonts w:ascii="Roboto Light" w:hAnsi="Roboto Light"/>
          <w:sz w:val="22"/>
          <w:szCs w:val="22"/>
        </w:rPr>
        <w:t>health</w:t>
      </w:r>
      <w:r w:rsidRPr="00A22D14">
        <w:rPr>
          <w:rFonts w:ascii="Roboto Light" w:hAnsi="Roboto Light"/>
          <w:sz w:val="22"/>
          <w:szCs w:val="22"/>
        </w:rPr>
        <w:t xml:space="preserve"> needs of MCs and the consistency of IsDB interventions in the sector with IsDB vision</w:t>
      </w:r>
      <w:r>
        <w:rPr>
          <w:rFonts w:ascii="Roboto Light" w:hAnsi="Roboto Light"/>
          <w:sz w:val="22"/>
          <w:szCs w:val="22"/>
        </w:rPr>
        <w:t>, mission</w:t>
      </w:r>
      <w:r w:rsidR="00D5363A">
        <w:rPr>
          <w:rFonts w:ascii="Roboto Light" w:hAnsi="Roboto Light"/>
          <w:sz w:val="22"/>
          <w:szCs w:val="22"/>
        </w:rPr>
        <w:t>, polic</w:t>
      </w:r>
      <w:r w:rsidR="00920699">
        <w:rPr>
          <w:rFonts w:ascii="Roboto Light" w:hAnsi="Roboto Light"/>
          <w:sz w:val="22"/>
          <w:szCs w:val="22"/>
        </w:rPr>
        <w:t>ies</w:t>
      </w:r>
      <w:r w:rsidR="00D5363A">
        <w:rPr>
          <w:rFonts w:ascii="Roboto Light" w:hAnsi="Roboto Light"/>
          <w:sz w:val="22"/>
          <w:szCs w:val="22"/>
        </w:rPr>
        <w:t>,</w:t>
      </w:r>
      <w:r>
        <w:rPr>
          <w:rFonts w:ascii="Roboto Light" w:hAnsi="Roboto Light"/>
          <w:sz w:val="22"/>
          <w:szCs w:val="22"/>
        </w:rPr>
        <w:t xml:space="preserve"> and strategies</w:t>
      </w:r>
      <w:r w:rsidRPr="00D97FAB">
        <w:rPr>
          <w:rFonts w:ascii="Roboto Light" w:hAnsi="Roboto Light"/>
          <w:sz w:val="22"/>
          <w:szCs w:val="22"/>
        </w:rPr>
        <w:t xml:space="preserve">. </w:t>
      </w:r>
    </w:p>
    <w:p w14:paraId="2D1E5206" w14:textId="77777777" w:rsidR="00FA337D" w:rsidRDefault="00FA337D" w:rsidP="00957354">
      <w:pPr>
        <w:pStyle w:val="Default"/>
        <w:numPr>
          <w:ilvl w:val="2"/>
          <w:numId w:val="6"/>
        </w:numPr>
        <w:spacing w:after="120"/>
        <w:jc w:val="both"/>
        <w:rPr>
          <w:rFonts w:ascii="Roboto Light" w:hAnsi="Roboto Light"/>
          <w:sz w:val="22"/>
          <w:szCs w:val="22"/>
        </w:rPr>
      </w:pPr>
      <w:r w:rsidRPr="00D97FAB">
        <w:rPr>
          <w:rFonts w:ascii="Roboto Light" w:hAnsi="Roboto Light"/>
          <w:sz w:val="22"/>
          <w:szCs w:val="22"/>
        </w:rPr>
        <w:t xml:space="preserve">Examining the effectiveness and implementation </w:t>
      </w:r>
      <w:r>
        <w:rPr>
          <w:rFonts w:ascii="Roboto Light" w:hAnsi="Roboto Light"/>
          <w:sz w:val="22"/>
          <w:szCs w:val="22"/>
        </w:rPr>
        <w:t>of the Bank's interventions in the sector</w:t>
      </w:r>
      <w:r w:rsidRPr="00D97FAB">
        <w:rPr>
          <w:rFonts w:ascii="Roboto Light" w:hAnsi="Roboto Light"/>
          <w:sz w:val="22"/>
          <w:szCs w:val="22"/>
        </w:rPr>
        <w:t>.</w:t>
      </w:r>
    </w:p>
    <w:p w14:paraId="7F3D8824" w14:textId="3BED5C1B" w:rsidR="00FA337D" w:rsidRPr="008A4ECC" w:rsidRDefault="00FA337D" w:rsidP="00957354">
      <w:pPr>
        <w:pStyle w:val="Default"/>
        <w:numPr>
          <w:ilvl w:val="2"/>
          <w:numId w:val="6"/>
        </w:numPr>
        <w:spacing w:after="120"/>
        <w:jc w:val="both"/>
        <w:rPr>
          <w:rFonts w:ascii="Roboto Light" w:hAnsi="Roboto Light"/>
          <w:sz w:val="22"/>
          <w:szCs w:val="22"/>
        </w:rPr>
      </w:pPr>
      <w:r w:rsidRPr="008A4ECC">
        <w:rPr>
          <w:rFonts w:ascii="Roboto Light" w:hAnsi="Roboto Light"/>
          <w:sz w:val="22"/>
          <w:szCs w:val="22"/>
        </w:rPr>
        <w:t>Review</w:t>
      </w:r>
      <w:r>
        <w:rPr>
          <w:rFonts w:ascii="Roboto Light" w:hAnsi="Roboto Light"/>
          <w:sz w:val="22"/>
          <w:szCs w:val="22"/>
        </w:rPr>
        <w:t>ing</w:t>
      </w:r>
      <w:r w:rsidRPr="008A4ECC">
        <w:rPr>
          <w:rFonts w:ascii="Roboto Light" w:hAnsi="Roboto Light"/>
          <w:sz w:val="22"/>
          <w:szCs w:val="22"/>
        </w:rPr>
        <w:t xml:space="preserve"> the efficiency of the Bank's interventions, </w:t>
      </w:r>
    </w:p>
    <w:p w14:paraId="769CD6B8" w14:textId="77777777" w:rsidR="00FA337D" w:rsidRPr="008A4ECC" w:rsidRDefault="00FA337D" w:rsidP="00957354">
      <w:pPr>
        <w:pStyle w:val="Default"/>
        <w:numPr>
          <w:ilvl w:val="2"/>
          <w:numId w:val="6"/>
        </w:numPr>
        <w:spacing w:after="120"/>
        <w:jc w:val="both"/>
        <w:rPr>
          <w:rFonts w:ascii="Roboto Light" w:hAnsi="Roboto Light"/>
          <w:sz w:val="22"/>
          <w:szCs w:val="22"/>
        </w:rPr>
      </w:pPr>
      <w:r>
        <w:rPr>
          <w:rFonts w:ascii="Roboto Light" w:hAnsi="Roboto Light"/>
          <w:sz w:val="22"/>
          <w:szCs w:val="22"/>
        </w:rPr>
        <w:t xml:space="preserve">Assessing the </w:t>
      </w:r>
      <w:r w:rsidRPr="008A4ECC">
        <w:rPr>
          <w:rFonts w:ascii="Roboto Light" w:hAnsi="Roboto Light"/>
          <w:sz w:val="22"/>
          <w:szCs w:val="22"/>
        </w:rPr>
        <w:t xml:space="preserve">sustainability of the Bank's interventions, and </w:t>
      </w:r>
    </w:p>
    <w:p w14:paraId="570213FE" w14:textId="77777777" w:rsidR="00E11574" w:rsidRDefault="00D5363A" w:rsidP="00957354">
      <w:pPr>
        <w:pStyle w:val="Default"/>
        <w:numPr>
          <w:ilvl w:val="2"/>
          <w:numId w:val="6"/>
        </w:numPr>
        <w:spacing w:after="120"/>
        <w:jc w:val="both"/>
        <w:rPr>
          <w:rFonts w:ascii="Roboto Light" w:hAnsi="Roboto Light"/>
          <w:sz w:val="22"/>
          <w:szCs w:val="22"/>
        </w:rPr>
      </w:pPr>
      <w:r w:rsidRPr="00D5363A">
        <w:rPr>
          <w:rFonts w:ascii="Roboto Light" w:hAnsi="Roboto Light"/>
          <w:sz w:val="22"/>
          <w:szCs w:val="22"/>
        </w:rPr>
        <w:lastRenderedPageBreak/>
        <w:t>Identifying gaps in policies, guidelines, strategies, and implementation mechanisms</w:t>
      </w:r>
      <w:r>
        <w:rPr>
          <w:rFonts w:ascii="Roboto Light" w:hAnsi="Roboto Light"/>
          <w:sz w:val="22"/>
          <w:szCs w:val="22"/>
        </w:rPr>
        <w:t>, if any,</w:t>
      </w:r>
      <w:r w:rsidRPr="00D5363A">
        <w:rPr>
          <w:rFonts w:ascii="Roboto Light" w:hAnsi="Roboto Light"/>
          <w:sz w:val="22"/>
          <w:szCs w:val="22"/>
        </w:rPr>
        <w:t xml:space="preserve"> with the view of </w:t>
      </w:r>
      <w:r>
        <w:rPr>
          <w:rFonts w:ascii="Roboto Light" w:hAnsi="Roboto Light"/>
          <w:sz w:val="22"/>
          <w:szCs w:val="22"/>
        </w:rPr>
        <w:t>d</w:t>
      </w:r>
      <w:r w:rsidR="00FA337D">
        <w:rPr>
          <w:rFonts w:ascii="Roboto Light" w:hAnsi="Roboto Light"/>
          <w:sz w:val="22"/>
          <w:szCs w:val="22"/>
        </w:rPr>
        <w:t>rawing</w:t>
      </w:r>
      <w:r w:rsidR="00FA337D" w:rsidRPr="00D97FAB">
        <w:rPr>
          <w:rFonts w:ascii="Roboto Light" w:hAnsi="Roboto Light"/>
          <w:sz w:val="22"/>
          <w:szCs w:val="22"/>
        </w:rPr>
        <w:t xml:space="preserve"> lessons and recommendations to enhance </w:t>
      </w:r>
      <w:r w:rsidR="00FA337D">
        <w:rPr>
          <w:rFonts w:ascii="Roboto Light" w:hAnsi="Roboto Light"/>
          <w:sz w:val="22"/>
          <w:szCs w:val="22"/>
        </w:rPr>
        <w:t>the future</w:t>
      </w:r>
      <w:r w:rsidR="00FA337D" w:rsidRPr="00D97FAB">
        <w:rPr>
          <w:rFonts w:ascii="Roboto Light" w:hAnsi="Roboto Light"/>
          <w:sz w:val="22"/>
          <w:szCs w:val="22"/>
        </w:rPr>
        <w:t xml:space="preserve"> </w:t>
      </w:r>
      <w:r w:rsidR="00FA337D" w:rsidRPr="0010209B">
        <w:rPr>
          <w:rFonts w:ascii="Roboto Light" w:hAnsi="Roboto Light"/>
          <w:sz w:val="22"/>
          <w:szCs w:val="22"/>
        </w:rPr>
        <w:t>IsDB</w:t>
      </w:r>
      <w:r w:rsidR="00FA337D">
        <w:rPr>
          <w:rFonts w:ascii="Roboto Light" w:hAnsi="Roboto Light"/>
          <w:sz w:val="22"/>
          <w:szCs w:val="22"/>
        </w:rPr>
        <w:t xml:space="preserve"> Group's</w:t>
      </w:r>
      <w:r w:rsidR="00FA337D" w:rsidRPr="0010209B">
        <w:rPr>
          <w:rFonts w:ascii="Roboto Light" w:hAnsi="Roboto Light"/>
          <w:sz w:val="22"/>
          <w:szCs w:val="22"/>
        </w:rPr>
        <w:t xml:space="preserve"> </w:t>
      </w:r>
      <w:r w:rsidR="00FA337D">
        <w:rPr>
          <w:rFonts w:ascii="Roboto Light" w:hAnsi="Roboto Light"/>
          <w:sz w:val="22"/>
          <w:szCs w:val="22"/>
        </w:rPr>
        <w:t>interventions</w:t>
      </w:r>
      <w:r w:rsidR="00FA337D" w:rsidRPr="00D97FAB">
        <w:rPr>
          <w:rFonts w:ascii="Roboto Light" w:hAnsi="Roboto Light"/>
          <w:sz w:val="22"/>
          <w:szCs w:val="22"/>
        </w:rPr>
        <w:t xml:space="preserve"> in the sector.  </w:t>
      </w:r>
    </w:p>
    <w:p w14:paraId="434A6FB3" w14:textId="7A7CD29C" w:rsidR="00627709" w:rsidRPr="0058612B" w:rsidRDefault="00C47426" w:rsidP="00957354">
      <w:pPr>
        <w:pStyle w:val="Heading2"/>
        <w:numPr>
          <w:ilvl w:val="0"/>
          <w:numId w:val="4"/>
        </w:numPr>
      </w:pPr>
      <w:bookmarkStart w:id="5" w:name="_Toc203985429"/>
      <w:r w:rsidRPr="0058612B">
        <w:t xml:space="preserve">Scope of </w:t>
      </w:r>
      <w:r w:rsidR="0058612B">
        <w:t>t</w:t>
      </w:r>
      <w:r w:rsidRPr="0058612B">
        <w:t>he Evaluation</w:t>
      </w:r>
      <w:bookmarkEnd w:id="5"/>
    </w:p>
    <w:p w14:paraId="035DA546" w14:textId="15F8D3ED" w:rsidR="00F91C24" w:rsidRDefault="00D12CE2" w:rsidP="00957354">
      <w:pPr>
        <w:pStyle w:val="Default"/>
        <w:numPr>
          <w:ilvl w:val="1"/>
          <w:numId w:val="4"/>
        </w:numPr>
        <w:spacing w:after="89" w:line="276" w:lineRule="auto"/>
        <w:ind w:left="0" w:firstLine="0"/>
        <w:jc w:val="both"/>
        <w:rPr>
          <w:rFonts w:ascii="Roboto Light" w:hAnsi="Roboto Light"/>
          <w:sz w:val="22"/>
          <w:szCs w:val="22"/>
        </w:rPr>
      </w:pPr>
      <w:r w:rsidRPr="00C26BD8">
        <w:rPr>
          <w:rFonts w:ascii="Roboto Light" w:hAnsi="Roboto Light"/>
          <w:sz w:val="22"/>
          <w:szCs w:val="22"/>
        </w:rPr>
        <w:t>The evaluation will cover all relevant policies, strategies and projects, operations, grants/technical assistance (TA), and programs approved during 201</w:t>
      </w:r>
      <w:r w:rsidR="00C72151" w:rsidRPr="00C26BD8">
        <w:rPr>
          <w:rFonts w:ascii="Roboto Light" w:hAnsi="Roboto Light"/>
          <w:sz w:val="22"/>
          <w:szCs w:val="22"/>
        </w:rPr>
        <w:t>5</w:t>
      </w:r>
      <w:r w:rsidRPr="00C26BD8">
        <w:rPr>
          <w:rFonts w:ascii="Roboto Light" w:hAnsi="Roboto Light"/>
          <w:sz w:val="22"/>
          <w:szCs w:val="22"/>
        </w:rPr>
        <w:t>–202</w:t>
      </w:r>
      <w:r w:rsidR="0069074B" w:rsidRPr="00C26BD8">
        <w:rPr>
          <w:rFonts w:ascii="Roboto Light" w:hAnsi="Roboto Light"/>
          <w:sz w:val="22"/>
          <w:szCs w:val="22"/>
        </w:rPr>
        <w:t>4</w:t>
      </w:r>
      <w:r w:rsidRPr="00C26BD8">
        <w:rPr>
          <w:rFonts w:ascii="Roboto Light" w:hAnsi="Roboto Light"/>
          <w:sz w:val="22"/>
          <w:szCs w:val="22"/>
        </w:rPr>
        <w:t>.</w:t>
      </w:r>
      <w:r w:rsidR="00C72151" w:rsidRPr="00C26BD8">
        <w:rPr>
          <w:rFonts w:ascii="Roboto Light" w:hAnsi="Roboto Light"/>
          <w:sz w:val="22"/>
          <w:szCs w:val="22"/>
        </w:rPr>
        <w:t xml:space="preserve"> </w:t>
      </w:r>
      <w:r w:rsidR="00A32943" w:rsidRPr="00C26BD8">
        <w:rPr>
          <w:rFonts w:ascii="Roboto Light" w:hAnsi="Roboto Light"/>
          <w:sz w:val="22"/>
          <w:szCs w:val="22"/>
        </w:rPr>
        <w:t>It will cover the full portfolio of</w:t>
      </w:r>
      <w:r w:rsidR="002018EC" w:rsidRPr="00C26BD8">
        <w:rPr>
          <w:rFonts w:ascii="Roboto Light" w:hAnsi="Roboto Light"/>
          <w:sz w:val="22"/>
          <w:szCs w:val="22"/>
        </w:rPr>
        <w:t xml:space="preserve"> 271 health sector interventions (including 54 projects and 217 grant operations) amounting </w:t>
      </w:r>
      <w:r w:rsidR="00C26BD8" w:rsidRPr="00C26BD8">
        <w:rPr>
          <w:rFonts w:ascii="Roboto Light" w:hAnsi="Roboto Light"/>
          <w:sz w:val="22"/>
          <w:szCs w:val="22"/>
        </w:rPr>
        <w:t>to</w:t>
      </w:r>
      <w:r w:rsidR="002018EC" w:rsidRPr="00C26BD8">
        <w:rPr>
          <w:rFonts w:ascii="Roboto Light" w:hAnsi="Roboto Light"/>
          <w:sz w:val="22"/>
          <w:szCs w:val="22"/>
        </w:rPr>
        <w:t xml:space="preserve"> </w:t>
      </w:r>
      <w:r w:rsidR="00C26BD8" w:rsidRPr="00C26BD8">
        <w:rPr>
          <w:rFonts w:ascii="Roboto Light" w:hAnsi="Roboto Light"/>
          <w:sz w:val="22"/>
          <w:szCs w:val="22"/>
        </w:rPr>
        <w:t>USD 3.76 billion and</w:t>
      </w:r>
      <w:r w:rsidR="00A32943" w:rsidRPr="00C26BD8">
        <w:rPr>
          <w:rFonts w:ascii="Roboto Light" w:hAnsi="Roboto Light"/>
          <w:sz w:val="22"/>
          <w:szCs w:val="22"/>
        </w:rPr>
        <w:t xml:space="preserve"> assess the scope and strategic alignment of interventions during this period.</w:t>
      </w:r>
      <w:r w:rsidRPr="00C26BD8">
        <w:rPr>
          <w:rFonts w:ascii="Roboto Light" w:hAnsi="Roboto Light"/>
          <w:sz w:val="22"/>
          <w:szCs w:val="22"/>
        </w:rPr>
        <w:t xml:space="preserve"> The evaluation will review all relevant documents of </w:t>
      </w:r>
      <w:r w:rsidR="00450913" w:rsidRPr="00C26BD8">
        <w:rPr>
          <w:rFonts w:ascii="Roboto Light" w:hAnsi="Roboto Light"/>
          <w:sz w:val="22"/>
          <w:szCs w:val="22"/>
        </w:rPr>
        <w:t>health</w:t>
      </w:r>
      <w:r w:rsidR="0069074B" w:rsidRPr="00C26BD8">
        <w:rPr>
          <w:rFonts w:ascii="Roboto Light" w:hAnsi="Roboto Light"/>
          <w:sz w:val="22"/>
          <w:szCs w:val="22"/>
        </w:rPr>
        <w:t xml:space="preserve"> </w:t>
      </w:r>
      <w:r w:rsidRPr="00C26BD8">
        <w:rPr>
          <w:rFonts w:ascii="Roboto Light" w:hAnsi="Roboto Light"/>
          <w:sz w:val="22"/>
          <w:szCs w:val="22"/>
        </w:rPr>
        <w:t>projects interventions and prepare</w:t>
      </w:r>
      <w:r w:rsidR="0069074B" w:rsidRPr="00C26BD8">
        <w:rPr>
          <w:rFonts w:ascii="Roboto Light" w:hAnsi="Roboto Light"/>
          <w:sz w:val="22"/>
          <w:szCs w:val="22"/>
        </w:rPr>
        <w:t xml:space="preserve"> specific number (</w:t>
      </w:r>
      <w:r w:rsidR="00E3165D" w:rsidRPr="00C26BD8">
        <w:rPr>
          <w:rFonts w:ascii="Roboto Light" w:hAnsi="Roboto Light"/>
          <w:sz w:val="22"/>
          <w:szCs w:val="22"/>
        </w:rPr>
        <w:t>3-4</w:t>
      </w:r>
      <w:r w:rsidR="0069074B" w:rsidRPr="00C26BD8">
        <w:rPr>
          <w:rFonts w:ascii="Roboto Light" w:hAnsi="Roboto Light"/>
          <w:sz w:val="22"/>
          <w:szCs w:val="22"/>
        </w:rPr>
        <w:t xml:space="preserve">) of </w:t>
      </w:r>
      <w:r w:rsidRPr="00C26BD8">
        <w:rPr>
          <w:rFonts w:ascii="Roboto Light" w:hAnsi="Roboto Light"/>
          <w:sz w:val="22"/>
          <w:szCs w:val="22"/>
        </w:rPr>
        <w:t>country case studies for an in-depth</w:t>
      </w:r>
      <w:r w:rsidRPr="0009773E">
        <w:rPr>
          <w:rFonts w:ascii="Roboto Light" w:hAnsi="Roboto Light"/>
          <w:sz w:val="22"/>
          <w:szCs w:val="22"/>
        </w:rPr>
        <w:t xml:space="preserve"> assessment. </w:t>
      </w:r>
      <w:r w:rsidR="0069074B" w:rsidRPr="0009773E">
        <w:rPr>
          <w:rFonts w:ascii="Roboto Light" w:hAnsi="Roboto Light"/>
          <w:sz w:val="22"/>
          <w:szCs w:val="22"/>
        </w:rPr>
        <w:t xml:space="preserve">This will take </w:t>
      </w:r>
      <w:r w:rsidR="00450913" w:rsidRPr="0009773E">
        <w:rPr>
          <w:rFonts w:ascii="Roboto Light" w:hAnsi="Roboto Light"/>
          <w:sz w:val="22"/>
          <w:szCs w:val="22"/>
        </w:rPr>
        <w:t>the cognizance</w:t>
      </w:r>
      <w:r w:rsidR="0069074B" w:rsidRPr="0009773E">
        <w:rPr>
          <w:rFonts w:ascii="Roboto Light" w:hAnsi="Roboto Light"/>
          <w:sz w:val="22"/>
          <w:szCs w:val="22"/>
        </w:rPr>
        <w:t xml:space="preserve"> of the </w:t>
      </w:r>
      <w:r w:rsidRPr="0009773E">
        <w:rPr>
          <w:rFonts w:ascii="Roboto Light" w:hAnsi="Roboto Light"/>
          <w:sz w:val="22"/>
          <w:szCs w:val="22"/>
        </w:rPr>
        <w:t>synthes</w:t>
      </w:r>
      <w:r w:rsidR="00AC552B" w:rsidRPr="0009773E">
        <w:rPr>
          <w:rFonts w:ascii="Roboto Light" w:hAnsi="Roboto Light"/>
          <w:sz w:val="22"/>
          <w:szCs w:val="22"/>
        </w:rPr>
        <w:t xml:space="preserve">is report on </w:t>
      </w:r>
      <w:r w:rsidRPr="0009773E">
        <w:rPr>
          <w:rFonts w:ascii="Roboto Light" w:hAnsi="Roboto Light"/>
          <w:sz w:val="22"/>
          <w:szCs w:val="22"/>
        </w:rPr>
        <w:t>evaluation</w:t>
      </w:r>
      <w:r w:rsidR="00AC552B" w:rsidRPr="0009773E">
        <w:rPr>
          <w:rFonts w:ascii="Roboto Light" w:hAnsi="Roboto Light"/>
          <w:sz w:val="22"/>
          <w:szCs w:val="22"/>
        </w:rPr>
        <w:t>s</w:t>
      </w:r>
      <w:r w:rsidRPr="0009773E">
        <w:rPr>
          <w:rFonts w:ascii="Roboto Light" w:hAnsi="Roboto Light"/>
          <w:sz w:val="22"/>
          <w:szCs w:val="22"/>
        </w:rPr>
        <w:t xml:space="preserve"> of IsDB </w:t>
      </w:r>
      <w:r w:rsidRPr="00267005">
        <w:rPr>
          <w:rFonts w:ascii="Roboto Light" w:hAnsi="Roboto Light"/>
          <w:sz w:val="22"/>
          <w:szCs w:val="22"/>
        </w:rPr>
        <w:t xml:space="preserve">Interventions in the </w:t>
      </w:r>
      <w:r w:rsidR="00AC552B" w:rsidRPr="00267005">
        <w:rPr>
          <w:rFonts w:ascii="Roboto Light" w:hAnsi="Roboto Light"/>
          <w:sz w:val="22"/>
          <w:szCs w:val="22"/>
        </w:rPr>
        <w:t xml:space="preserve">health sector conducted in 2017, which covered the period </w:t>
      </w:r>
      <w:r w:rsidRPr="00267005">
        <w:rPr>
          <w:rFonts w:ascii="Roboto Light" w:hAnsi="Roboto Light"/>
          <w:sz w:val="22"/>
          <w:szCs w:val="22"/>
        </w:rPr>
        <w:t>1976 to 2014</w:t>
      </w:r>
      <w:r w:rsidR="00AC552B" w:rsidRPr="00267005">
        <w:rPr>
          <w:rFonts w:ascii="Roboto Light" w:hAnsi="Roboto Light"/>
          <w:sz w:val="22"/>
          <w:szCs w:val="22"/>
        </w:rPr>
        <w:t xml:space="preserve">, in </w:t>
      </w:r>
      <w:r w:rsidRPr="00267005">
        <w:rPr>
          <w:rFonts w:ascii="Roboto Light" w:hAnsi="Roboto Light"/>
          <w:sz w:val="22"/>
          <w:szCs w:val="22"/>
        </w:rPr>
        <w:t xml:space="preserve">addition to </w:t>
      </w:r>
      <w:r w:rsidR="00AC552B" w:rsidRPr="00267005">
        <w:rPr>
          <w:rFonts w:ascii="Roboto Light" w:hAnsi="Roboto Light"/>
          <w:sz w:val="22"/>
          <w:szCs w:val="22"/>
        </w:rPr>
        <w:t xml:space="preserve">other relevant </w:t>
      </w:r>
      <w:proofErr w:type="spellStart"/>
      <w:r w:rsidR="00680EDD" w:rsidRPr="00267005">
        <w:rPr>
          <w:rFonts w:ascii="Roboto Light" w:hAnsi="Roboto Light"/>
          <w:sz w:val="22"/>
          <w:szCs w:val="22"/>
        </w:rPr>
        <w:t>IEvD</w:t>
      </w:r>
      <w:proofErr w:type="spellEnd"/>
      <w:r w:rsidR="00680EDD" w:rsidRPr="00267005">
        <w:rPr>
          <w:rFonts w:ascii="Roboto Light" w:hAnsi="Roboto Light"/>
          <w:sz w:val="22"/>
          <w:szCs w:val="22"/>
        </w:rPr>
        <w:t xml:space="preserve"> evaluative work</w:t>
      </w:r>
      <w:r w:rsidR="005B0590" w:rsidRPr="00267005">
        <w:rPr>
          <w:rFonts w:ascii="Roboto Light" w:hAnsi="Roboto Light"/>
          <w:sz w:val="22"/>
          <w:szCs w:val="22"/>
        </w:rPr>
        <w:t xml:space="preserve"> including </w:t>
      </w:r>
      <w:r w:rsidR="00F95841" w:rsidRPr="00267005">
        <w:rPr>
          <w:rFonts w:ascii="Roboto Light" w:hAnsi="Roboto Light"/>
          <w:sz w:val="22"/>
          <w:szCs w:val="22"/>
        </w:rPr>
        <w:t>18 Project Performance Evaluation Reports (PPERs), 15 Project Completion Report Validation Notes (PCR</w:t>
      </w:r>
      <w:r w:rsidR="00967529" w:rsidRPr="00267005">
        <w:rPr>
          <w:rFonts w:ascii="Roboto Light" w:hAnsi="Roboto Light"/>
          <w:sz w:val="22"/>
          <w:szCs w:val="22"/>
        </w:rPr>
        <w:t>-VNs)</w:t>
      </w:r>
      <w:r w:rsidR="00F95841" w:rsidRPr="00267005">
        <w:rPr>
          <w:rFonts w:ascii="Roboto Light" w:hAnsi="Roboto Light"/>
          <w:sz w:val="22"/>
          <w:szCs w:val="22"/>
        </w:rPr>
        <w:t>,</w:t>
      </w:r>
      <w:r w:rsidR="00C56AA5" w:rsidRPr="00267005">
        <w:rPr>
          <w:rFonts w:ascii="Roboto Light" w:hAnsi="Roboto Light"/>
          <w:sz w:val="22"/>
          <w:szCs w:val="22"/>
        </w:rPr>
        <w:t xml:space="preserve"> and 3</w:t>
      </w:r>
      <w:r w:rsidR="005C37EA" w:rsidRPr="00267005">
        <w:rPr>
          <w:rFonts w:ascii="Roboto Light" w:hAnsi="Roboto Light"/>
          <w:sz w:val="22"/>
          <w:szCs w:val="22"/>
        </w:rPr>
        <w:t xml:space="preserve"> program evaluations</w:t>
      </w:r>
      <w:r w:rsidR="00AC552B" w:rsidRPr="00267005">
        <w:rPr>
          <w:rFonts w:ascii="Roboto Light" w:hAnsi="Roboto Light"/>
          <w:sz w:val="22"/>
          <w:szCs w:val="22"/>
        </w:rPr>
        <w:t>.</w:t>
      </w:r>
      <w:r w:rsidR="00AC552B" w:rsidRPr="0009773E">
        <w:rPr>
          <w:rFonts w:ascii="Roboto Light" w:hAnsi="Roboto Light"/>
          <w:sz w:val="22"/>
          <w:szCs w:val="22"/>
        </w:rPr>
        <w:t xml:space="preserve"> </w:t>
      </w:r>
      <w:r w:rsidR="00F91C24" w:rsidRPr="0009773E">
        <w:rPr>
          <w:rFonts w:ascii="Roboto Light" w:hAnsi="Roboto Light"/>
          <w:sz w:val="22"/>
          <w:szCs w:val="22"/>
        </w:rPr>
        <w:t>Member Country Partnership Strategies</w:t>
      </w:r>
      <w:r w:rsidR="0009773E">
        <w:rPr>
          <w:rFonts w:ascii="Roboto Light" w:hAnsi="Roboto Light"/>
          <w:sz w:val="22"/>
          <w:szCs w:val="22"/>
        </w:rPr>
        <w:t xml:space="preserve"> (MCPS) of</w:t>
      </w:r>
      <w:r w:rsidR="00F91C24" w:rsidRPr="0009773E">
        <w:rPr>
          <w:rFonts w:ascii="Roboto Light" w:hAnsi="Roboto Light"/>
          <w:sz w:val="22"/>
          <w:szCs w:val="22"/>
        </w:rPr>
        <w:t xml:space="preserve"> the</w:t>
      </w:r>
      <w:r w:rsidR="00446E86" w:rsidRPr="0009773E">
        <w:rPr>
          <w:rFonts w:ascii="Roboto Light" w:hAnsi="Roboto Light"/>
          <w:sz w:val="22"/>
          <w:szCs w:val="22"/>
        </w:rPr>
        <w:t xml:space="preserve"> </w:t>
      </w:r>
      <w:r w:rsidR="0009773E" w:rsidRPr="0009773E">
        <w:rPr>
          <w:rFonts w:ascii="Roboto Light" w:hAnsi="Roboto Light"/>
          <w:sz w:val="22"/>
          <w:szCs w:val="22"/>
        </w:rPr>
        <w:t xml:space="preserve">countries </w:t>
      </w:r>
      <w:r w:rsidR="00F91C24" w:rsidRPr="0009773E">
        <w:rPr>
          <w:rFonts w:ascii="Roboto Light" w:hAnsi="Roboto Light"/>
          <w:sz w:val="22"/>
          <w:szCs w:val="22"/>
        </w:rPr>
        <w:t>selected for case study</w:t>
      </w:r>
      <w:r w:rsidR="0009773E">
        <w:rPr>
          <w:rFonts w:ascii="Roboto Light" w:hAnsi="Roboto Light"/>
          <w:sz w:val="22"/>
          <w:szCs w:val="22"/>
        </w:rPr>
        <w:t xml:space="preserve"> will also be reviewed</w:t>
      </w:r>
      <w:r w:rsidR="00F91C24" w:rsidRPr="0009773E">
        <w:rPr>
          <w:rFonts w:ascii="Roboto Light" w:hAnsi="Roboto Light"/>
          <w:sz w:val="22"/>
          <w:szCs w:val="22"/>
        </w:rPr>
        <w:t xml:space="preserve">. </w:t>
      </w:r>
      <w:r w:rsidR="00267005">
        <w:rPr>
          <w:rFonts w:ascii="Roboto Light" w:hAnsi="Roboto Light"/>
          <w:sz w:val="22"/>
          <w:szCs w:val="22"/>
        </w:rPr>
        <w:t xml:space="preserve"> </w:t>
      </w:r>
    </w:p>
    <w:p w14:paraId="3006F703" w14:textId="333032D1" w:rsidR="00E3165D" w:rsidRPr="0009773E" w:rsidRDefault="00E3165D" w:rsidP="00957354">
      <w:pPr>
        <w:pStyle w:val="Default"/>
        <w:numPr>
          <w:ilvl w:val="1"/>
          <w:numId w:val="4"/>
        </w:numPr>
        <w:spacing w:after="89" w:line="276" w:lineRule="auto"/>
        <w:ind w:left="0" w:firstLine="0"/>
        <w:jc w:val="both"/>
        <w:rPr>
          <w:rFonts w:ascii="Roboto Light" w:hAnsi="Roboto Light"/>
          <w:sz w:val="22"/>
          <w:szCs w:val="22"/>
        </w:rPr>
      </w:pPr>
      <w:r w:rsidRPr="00450913">
        <w:rPr>
          <w:rFonts w:ascii="Roboto Light" w:hAnsi="Roboto Light"/>
          <w:sz w:val="22"/>
          <w:szCs w:val="22"/>
        </w:rPr>
        <w:t>Furthermore, the consultant is expected to analyze the findings of the Corporate Evaluation on the COVID-19 Strategic Preparedness and Response Program (CEE-SPRP), which evaluated the Bank’s agility, coordination, and effectiveness in responding to the pandemic. These evaluations, taken together, will serve as a critical evidence base to inform the current health sector evaluation, ensuring alignment with institutional learning and broader strategic directions.</w:t>
      </w:r>
    </w:p>
    <w:p w14:paraId="3B945CD3" w14:textId="39B728C2" w:rsidR="005232D8" w:rsidRPr="0058612B" w:rsidRDefault="00FF5F8B" w:rsidP="00957354">
      <w:pPr>
        <w:pStyle w:val="Default"/>
        <w:numPr>
          <w:ilvl w:val="1"/>
          <w:numId w:val="4"/>
        </w:numPr>
        <w:spacing w:after="89" w:line="276" w:lineRule="auto"/>
        <w:ind w:left="0" w:firstLine="0"/>
        <w:jc w:val="both"/>
        <w:rPr>
          <w:rFonts w:ascii="Roboto Light" w:hAnsi="Roboto Light"/>
          <w:sz w:val="22"/>
          <w:szCs w:val="22"/>
        </w:rPr>
      </w:pPr>
      <w:r w:rsidRPr="0058612B">
        <w:rPr>
          <w:rFonts w:ascii="Roboto Light" w:hAnsi="Roboto Light"/>
          <w:sz w:val="22"/>
          <w:szCs w:val="22"/>
        </w:rPr>
        <w:t xml:space="preserve">As part of the process of this </w:t>
      </w:r>
      <w:r w:rsidR="00D12CE2" w:rsidRPr="0058612B">
        <w:rPr>
          <w:rFonts w:ascii="Roboto Light" w:hAnsi="Roboto Light"/>
          <w:sz w:val="22"/>
          <w:szCs w:val="22"/>
        </w:rPr>
        <w:t xml:space="preserve">evaluation </w:t>
      </w:r>
      <w:r w:rsidRPr="0058612B">
        <w:rPr>
          <w:rFonts w:ascii="Roboto Light" w:hAnsi="Roboto Light"/>
          <w:sz w:val="22"/>
          <w:szCs w:val="22"/>
        </w:rPr>
        <w:t xml:space="preserve">exercise, it will be necessary to engage all relevant stakeholders both within and outside the IsDB. In the IsDB, units that are related to policy and strategy formulation as well as those involved in the conceptualization, design and implementation of projects </w:t>
      </w:r>
      <w:r w:rsidR="005D506E">
        <w:rPr>
          <w:rFonts w:ascii="Roboto Light" w:hAnsi="Roboto Light"/>
          <w:sz w:val="22"/>
          <w:szCs w:val="22"/>
        </w:rPr>
        <w:t xml:space="preserve">and programs </w:t>
      </w:r>
      <w:r w:rsidRPr="0058612B">
        <w:rPr>
          <w:rFonts w:ascii="Roboto Light" w:hAnsi="Roboto Light"/>
          <w:sz w:val="22"/>
          <w:szCs w:val="22"/>
        </w:rPr>
        <w:t xml:space="preserve">with focus on health would need to be engaged to understand their perspectives and the level of </w:t>
      </w:r>
      <w:r w:rsidR="00D12CE2" w:rsidRPr="0058612B">
        <w:rPr>
          <w:rFonts w:ascii="Roboto Light" w:hAnsi="Roboto Light"/>
          <w:sz w:val="22"/>
          <w:szCs w:val="22"/>
        </w:rPr>
        <w:t xml:space="preserve">internal coordination between </w:t>
      </w:r>
      <w:r w:rsidRPr="0058612B">
        <w:rPr>
          <w:rFonts w:ascii="Roboto Light" w:hAnsi="Roboto Light"/>
          <w:sz w:val="22"/>
          <w:szCs w:val="22"/>
        </w:rPr>
        <w:t xml:space="preserve">them. Outside the IsDB, the relevant government institutions (e.g. Ministry of health) and </w:t>
      </w:r>
      <w:r w:rsidR="001067D4" w:rsidRPr="0058612B">
        <w:rPr>
          <w:rFonts w:ascii="Roboto Light" w:hAnsi="Roboto Light"/>
          <w:sz w:val="22"/>
          <w:szCs w:val="22"/>
        </w:rPr>
        <w:t>executi</w:t>
      </w:r>
      <w:r w:rsidR="0009773E">
        <w:rPr>
          <w:rFonts w:ascii="Roboto Light" w:hAnsi="Roboto Light"/>
          <w:sz w:val="22"/>
          <w:szCs w:val="22"/>
        </w:rPr>
        <w:t>ng</w:t>
      </w:r>
      <w:r w:rsidRPr="0058612B">
        <w:rPr>
          <w:rFonts w:ascii="Roboto Light" w:hAnsi="Roboto Light"/>
          <w:sz w:val="22"/>
          <w:szCs w:val="22"/>
        </w:rPr>
        <w:t xml:space="preserve"> </w:t>
      </w:r>
      <w:r w:rsidR="005232D8" w:rsidRPr="0058612B">
        <w:rPr>
          <w:rFonts w:ascii="Roboto Light" w:hAnsi="Roboto Light"/>
          <w:sz w:val="22"/>
          <w:szCs w:val="22"/>
        </w:rPr>
        <w:t>agencies</w:t>
      </w:r>
      <w:r w:rsidRPr="0058612B">
        <w:rPr>
          <w:rFonts w:ascii="Roboto Light" w:hAnsi="Roboto Light"/>
          <w:sz w:val="22"/>
          <w:szCs w:val="22"/>
        </w:rPr>
        <w:t xml:space="preserve"> </w:t>
      </w:r>
      <w:r w:rsidR="0009773E">
        <w:rPr>
          <w:rFonts w:ascii="Roboto Light" w:hAnsi="Roboto Light"/>
          <w:sz w:val="22"/>
          <w:szCs w:val="22"/>
        </w:rPr>
        <w:t>will</w:t>
      </w:r>
      <w:r w:rsidRPr="0058612B">
        <w:rPr>
          <w:rFonts w:ascii="Roboto Light" w:hAnsi="Roboto Light"/>
          <w:sz w:val="22"/>
          <w:szCs w:val="22"/>
        </w:rPr>
        <w:t xml:space="preserve"> be engaged to understand the extent of their appreciation </w:t>
      </w:r>
      <w:r w:rsidR="005232D8" w:rsidRPr="0058612B">
        <w:rPr>
          <w:rFonts w:ascii="Roboto Light" w:hAnsi="Roboto Light"/>
          <w:sz w:val="22"/>
          <w:szCs w:val="22"/>
        </w:rPr>
        <w:t>of the delivery efficiency and effectiveness of the projects</w:t>
      </w:r>
      <w:r w:rsidR="005D506E">
        <w:rPr>
          <w:rFonts w:ascii="Roboto Light" w:hAnsi="Roboto Light"/>
          <w:sz w:val="22"/>
          <w:szCs w:val="22"/>
        </w:rPr>
        <w:t xml:space="preserve"> and projects</w:t>
      </w:r>
      <w:r w:rsidR="005232D8" w:rsidRPr="0058612B">
        <w:rPr>
          <w:rFonts w:ascii="Roboto Light" w:hAnsi="Roboto Light"/>
          <w:sz w:val="22"/>
          <w:szCs w:val="22"/>
        </w:rPr>
        <w:t xml:space="preserve">. In addition, selected targeted beneficiaries and vendors/contractors would need to be engaged to obtain their feedback. </w:t>
      </w:r>
    </w:p>
    <w:p w14:paraId="3FBF617A" w14:textId="41C27DC4" w:rsidR="00D12CE2" w:rsidRPr="0058612B" w:rsidRDefault="00867D92" w:rsidP="00957354">
      <w:pPr>
        <w:pStyle w:val="Default"/>
        <w:numPr>
          <w:ilvl w:val="1"/>
          <w:numId w:val="4"/>
        </w:numPr>
        <w:spacing w:after="89" w:line="276" w:lineRule="auto"/>
        <w:ind w:left="0" w:firstLine="0"/>
        <w:jc w:val="both"/>
        <w:rPr>
          <w:rFonts w:ascii="Roboto Light" w:hAnsi="Roboto Light"/>
          <w:sz w:val="22"/>
          <w:szCs w:val="22"/>
        </w:rPr>
      </w:pPr>
      <w:r>
        <w:rPr>
          <w:rFonts w:ascii="Roboto Light" w:hAnsi="Roboto Light"/>
          <w:sz w:val="22"/>
          <w:szCs w:val="22"/>
        </w:rPr>
        <w:t>The evaluation</w:t>
      </w:r>
      <w:r w:rsidRPr="009D20B6">
        <w:rPr>
          <w:rFonts w:ascii="Roboto Light" w:hAnsi="Roboto Light"/>
          <w:sz w:val="22"/>
          <w:szCs w:val="22"/>
        </w:rPr>
        <w:t xml:space="preserve"> will be structured around the OECD-DAC evaluation criteria</w:t>
      </w:r>
      <w:r w:rsidR="00CC2AFA">
        <w:rPr>
          <w:rFonts w:ascii="Roboto Light" w:hAnsi="Roboto Light"/>
          <w:sz w:val="22"/>
          <w:szCs w:val="22"/>
        </w:rPr>
        <w:t xml:space="preserve">: </w:t>
      </w:r>
      <w:r w:rsidRPr="004D5DE2">
        <w:rPr>
          <w:rFonts w:ascii="Roboto Light" w:hAnsi="Roboto Light"/>
          <w:sz w:val="22"/>
          <w:szCs w:val="22"/>
        </w:rPr>
        <w:t>relevance</w:t>
      </w:r>
      <w:r w:rsidRPr="009D20B6">
        <w:rPr>
          <w:rFonts w:ascii="Roboto Light" w:hAnsi="Roboto Light"/>
          <w:sz w:val="22"/>
          <w:szCs w:val="22"/>
        </w:rPr>
        <w:t xml:space="preserve">, </w:t>
      </w:r>
      <w:r w:rsidRPr="004D5DE2">
        <w:rPr>
          <w:rFonts w:ascii="Roboto Light" w:hAnsi="Roboto Light"/>
          <w:sz w:val="22"/>
          <w:szCs w:val="22"/>
        </w:rPr>
        <w:t>effectiveness</w:t>
      </w:r>
      <w:r w:rsidRPr="009D20B6">
        <w:rPr>
          <w:rFonts w:ascii="Roboto Light" w:hAnsi="Roboto Light"/>
          <w:sz w:val="22"/>
          <w:szCs w:val="22"/>
        </w:rPr>
        <w:t xml:space="preserve">, </w:t>
      </w:r>
      <w:r w:rsidRPr="004D5DE2">
        <w:rPr>
          <w:rFonts w:ascii="Roboto Light" w:hAnsi="Roboto Light"/>
          <w:sz w:val="22"/>
          <w:szCs w:val="22"/>
        </w:rPr>
        <w:t>efficiency</w:t>
      </w:r>
      <w:r w:rsidRPr="009D20B6">
        <w:rPr>
          <w:rFonts w:ascii="Roboto Light" w:hAnsi="Roboto Light"/>
          <w:sz w:val="22"/>
          <w:szCs w:val="22"/>
        </w:rPr>
        <w:t xml:space="preserve">, and </w:t>
      </w:r>
      <w:r w:rsidRPr="004D5DE2">
        <w:rPr>
          <w:rFonts w:ascii="Roboto Light" w:hAnsi="Roboto Light"/>
          <w:sz w:val="22"/>
          <w:szCs w:val="22"/>
        </w:rPr>
        <w:t>sustainability</w:t>
      </w:r>
      <w:r>
        <w:rPr>
          <w:rFonts w:ascii="Roboto Light" w:hAnsi="Roboto Light"/>
          <w:sz w:val="22"/>
          <w:szCs w:val="22"/>
        </w:rPr>
        <w:t>. It</w:t>
      </w:r>
      <w:r w:rsidR="00D12CE2" w:rsidRPr="0058612B">
        <w:rPr>
          <w:rFonts w:ascii="Roboto Light" w:hAnsi="Roboto Light"/>
          <w:sz w:val="22"/>
          <w:szCs w:val="22"/>
        </w:rPr>
        <w:t xml:space="preserve"> will assess the changes before and after the approval of the IsDB </w:t>
      </w:r>
      <w:r w:rsidR="00F91C24" w:rsidRPr="0058612B">
        <w:rPr>
          <w:rFonts w:ascii="Roboto Light" w:hAnsi="Roboto Light"/>
          <w:sz w:val="22"/>
          <w:szCs w:val="22"/>
        </w:rPr>
        <w:t xml:space="preserve">Health </w:t>
      </w:r>
      <w:r w:rsidR="00280389" w:rsidRPr="0058612B">
        <w:rPr>
          <w:rFonts w:ascii="Roboto Light" w:hAnsi="Roboto Light"/>
          <w:sz w:val="22"/>
          <w:szCs w:val="22"/>
        </w:rPr>
        <w:t>Policy</w:t>
      </w:r>
      <w:r w:rsidR="00F91C24" w:rsidRPr="0058612B">
        <w:rPr>
          <w:rFonts w:ascii="Roboto Light" w:hAnsi="Roboto Light"/>
          <w:sz w:val="22"/>
          <w:szCs w:val="22"/>
        </w:rPr>
        <w:t xml:space="preserve"> in 2019 </w:t>
      </w:r>
      <w:r w:rsidR="00D12CE2" w:rsidRPr="0058612B">
        <w:rPr>
          <w:rFonts w:ascii="Roboto Light" w:hAnsi="Roboto Light"/>
          <w:sz w:val="22"/>
          <w:szCs w:val="22"/>
        </w:rPr>
        <w:t xml:space="preserve">and </w:t>
      </w:r>
      <w:r w:rsidR="00280389" w:rsidRPr="0058612B">
        <w:rPr>
          <w:rFonts w:ascii="Roboto Light" w:hAnsi="Roboto Light"/>
          <w:sz w:val="22"/>
          <w:szCs w:val="22"/>
        </w:rPr>
        <w:t xml:space="preserve">the IsDB </w:t>
      </w:r>
      <w:r w:rsidR="00D12CE2" w:rsidRPr="0058612B">
        <w:rPr>
          <w:rFonts w:ascii="Roboto Light" w:hAnsi="Roboto Light"/>
          <w:sz w:val="22"/>
          <w:szCs w:val="22"/>
        </w:rPr>
        <w:t>five-year implementation strategy (2020 -2025)</w:t>
      </w:r>
      <w:r w:rsidR="00280389" w:rsidRPr="0058612B">
        <w:rPr>
          <w:rFonts w:ascii="Roboto Light" w:hAnsi="Roboto Light"/>
          <w:sz w:val="22"/>
          <w:szCs w:val="22"/>
        </w:rPr>
        <w:t xml:space="preserve"> that was subsequently formulated.</w:t>
      </w:r>
      <w:r w:rsidR="00C25DE3" w:rsidRPr="0058612B">
        <w:rPr>
          <w:rFonts w:ascii="Roboto Light" w:hAnsi="Roboto Light"/>
          <w:sz w:val="22"/>
          <w:szCs w:val="22"/>
        </w:rPr>
        <w:t xml:space="preserve"> In the process, the </w:t>
      </w:r>
      <w:r w:rsidR="00D12CE2" w:rsidRPr="0058612B">
        <w:rPr>
          <w:rFonts w:ascii="Roboto Light" w:hAnsi="Roboto Light"/>
          <w:sz w:val="22"/>
          <w:szCs w:val="22"/>
        </w:rPr>
        <w:t xml:space="preserve">evaluation </w:t>
      </w:r>
      <w:r w:rsidR="00B76C7D">
        <w:rPr>
          <w:rFonts w:ascii="Roboto Light" w:hAnsi="Roboto Light"/>
          <w:sz w:val="22"/>
          <w:szCs w:val="22"/>
        </w:rPr>
        <w:t>would</w:t>
      </w:r>
      <w:r w:rsidR="00B76C7D" w:rsidRPr="0058612B">
        <w:rPr>
          <w:rFonts w:ascii="Roboto Light" w:hAnsi="Roboto Light"/>
          <w:sz w:val="22"/>
          <w:szCs w:val="22"/>
        </w:rPr>
        <w:t xml:space="preserve"> </w:t>
      </w:r>
      <w:r w:rsidR="00C25DE3" w:rsidRPr="0058612B">
        <w:rPr>
          <w:rFonts w:ascii="Roboto Light" w:hAnsi="Roboto Light"/>
          <w:sz w:val="22"/>
          <w:szCs w:val="22"/>
        </w:rPr>
        <w:t xml:space="preserve">leverage internal data sources such as the </w:t>
      </w:r>
      <w:r w:rsidR="00B76C7D">
        <w:rPr>
          <w:rFonts w:ascii="Roboto Light" w:hAnsi="Roboto Light"/>
          <w:sz w:val="22"/>
          <w:szCs w:val="22"/>
        </w:rPr>
        <w:t>Operations Management System (</w:t>
      </w:r>
      <w:r w:rsidR="00C25DE3" w:rsidRPr="0058612B">
        <w:rPr>
          <w:rFonts w:ascii="Roboto Light" w:hAnsi="Roboto Light"/>
          <w:sz w:val="22"/>
          <w:szCs w:val="22"/>
        </w:rPr>
        <w:t>OMS</w:t>
      </w:r>
      <w:r w:rsidR="00B76C7D">
        <w:rPr>
          <w:rFonts w:ascii="Roboto Light" w:hAnsi="Roboto Light"/>
          <w:sz w:val="22"/>
          <w:szCs w:val="22"/>
        </w:rPr>
        <w:t>)</w:t>
      </w:r>
      <w:r w:rsidR="00C25DE3" w:rsidRPr="0058612B">
        <w:rPr>
          <w:rFonts w:ascii="Roboto Light" w:hAnsi="Roboto Light"/>
          <w:sz w:val="22"/>
          <w:szCs w:val="22"/>
        </w:rPr>
        <w:t xml:space="preserve"> and resources from economic research and statistics </w:t>
      </w:r>
      <w:r w:rsidR="00B76C7D">
        <w:rPr>
          <w:rFonts w:ascii="Roboto Light" w:hAnsi="Roboto Light"/>
          <w:sz w:val="22"/>
          <w:szCs w:val="22"/>
        </w:rPr>
        <w:t>department</w:t>
      </w:r>
      <w:r w:rsidR="00B76C7D" w:rsidRPr="0058612B">
        <w:rPr>
          <w:rFonts w:ascii="Roboto Light" w:hAnsi="Roboto Light"/>
          <w:sz w:val="22"/>
          <w:szCs w:val="22"/>
        </w:rPr>
        <w:t xml:space="preserve"> </w:t>
      </w:r>
      <w:r w:rsidR="00C25DE3" w:rsidRPr="0058612B">
        <w:rPr>
          <w:rFonts w:ascii="Roboto Light" w:hAnsi="Roboto Light"/>
          <w:sz w:val="22"/>
          <w:szCs w:val="22"/>
        </w:rPr>
        <w:t xml:space="preserve">of the IsDB Group Chief Economist.  </w:t>
      </w:r>
      <w:r w:rsidR="00D12CE2" w:rsidRPr="0058612B">
        <w:rPr>
          <w:rFonts w:ascii="Roboto Light" w:hAnsi="Roboto Light"/>
          <w:sz w:val="22"/>
          <w:szCs w:val="22"/>
        </w:rPr>
        <w:t xml:space="preserve">The comparison between </w:t>
      </w:r>
      <w:r w:rsidR="00C25DE3" w:rsidRPr="0058612B">
        <w:rPr>
          <w:rFonts w:ascii="Roboto Light" w:hAnsi="Roboto Light"/>
          <w:sz w:val="22"/>
          <w:szCs w:val="22"/>
        </w:rPr>
        <w:t xml:space="preserve">before and after the IsDB Health policy </w:t>
      </w:r>
      <w:r w:rsidR="00D12CE2" w:rsidRPr="0058612B">
        <w:rPr>
          <w:rFonts w:ascii="Roboto Light" w:hAnsi="Roboto Light"/>
          <w:sz w:val="22"/>
          <w:szCs w:val="22"/>
        </w:rPr>
        <w:t xml:space="preserve">will </w:t>
      </w:r>
      <w:r w:rsidR="00C25DE3" w:rsidRPr="0058612B">
        <w:rPr>
          <w:rFonts w:ascii="Roboto Light" w:hAnsi="Roboto Light"/>
          <w:sz w:val="22"/>
          <w:szCs w:val="22"/>
        </w:rPr>
        <w:t xml:space="preserve">provide useful insights </w:t>
      </w:r>
      <w:r w:rsidR="00973D8C" w:rsidRPr="0058612B">
        <w:rPr>
          <w:rFonts w:ascii="Roboto Light" w:hAnsi="Roboto Light"/>
          <w:sz w:val="22"/>
          <w:szCs w:val="22"/>
        </w:rPr>
        <w:t>into</w:t>
      </w:r>
      <w:r w:rsidR="00C25DE3" w:rsidRPr="0058612B">
        <w:rPr>
          <w:rFonts w:ascii="Roboto Light" w:hAnsi="Roboto Light"/>
          <w:sz w:val="22"/>
          <w:szCs w:val="22"/>
        </w:rPr>
        <w:t xml:space="preserve"> the extent to which policies and </w:t>
      </w:r>
      <w:r w:rsidR="00C25DE3" w:rsidRPr="0058612B">
        <w:rPr>
          <w:rFonts w:ascii="Roboto Light" w:hAnsi="Roboto Light"/>
          <w:sz w:val="22"/>
          <w:szCs w:val="22"/>
        </w:rPr>
        <w:lastRenderedPageBreak/>
        <w:t xml:space="preserve">strategies </w:t>
      </w:r>
      <w:r w:rsidR="00CC2AFA">
        <w:rPr>
          <w:rFonts w:ascii="Roboto Light" w:hAnsi="Roboto Light"/>
          <w:sz w:val="22"/>
          <w:szCs w:val="22"/>
        </w:rPr>
        <w:t>we</w:t>
      </w:r>
      <w:r w:rsidR="00CC2AFA" w:rsidRPr="0058612B">
        <w:rPr>
          <w:rFonts w:ascii="Roboto Light" w:hAnsi="Roboto Light"/>
          <w:sz w:val="22"/>
          <w:szCs w:val="22"/>
        </w:rPr>
        <w:t xml:space="preserve">re </w:t>
      </w:r>
      <w:r w:rsidR="00C25DE3" w:rsidRPr="0058612B">
        <w:rPr>
          <w:rFonts w:ascii="Roboto Light" w:hAnsi="Roboto Light"/>
          <w:sz w:val="22"/>
          <w:szCs w:val="22"/>
        </w:rPr>
        <w:t xml:space="preserve">relevant to the conceptualization, design and implementation of health sector interventions. </w:t>
      </w:r>
    </w:p>
    <w:p w14:paraId="4A3F7072" w14:textId="54E6284E" w:rsidR="00627709" w:rsidRPr="0058612B" w:rsidRDefault="006742BA" w:rsidP="00957354">
      <w:pPr>
        <w:pStyle w:val="Heading2"/>
        <w:numPr>
          <w:ilvl w:val="0"/>
          <w:numId w:val="4"/>
        </w:numPr>
      </w:pPr>
      <w:bookmarkStart w:id="6" w:name="_Toc203985430"/>
      <w:r w:rsidRPr="0058612B">
        <w:t>Main Tasks of the Consultant</w:t>
      </w:r>
      <w:bookmarkEnd w:id="6"/>
      <w:r w:rsidRPr="0058612B">
        <w:t xml:space="preserve"> </w:t>
      </w:r>
    </w:p>
    <w:p w14:paraId="5BD5FFBE" w14:textId="294FFD8D" w:rsidR="00D12CE2" w:rsidRPr="0058612B" w:rsidRDefault="00D12CE2" w:rsidP="00957354">
      <w:pPr>
        <w:pStyle w:val="Default"/>
        <w:numPr>
          <w:ilvl w:val="1"/>
          <w:numId w:val="4"/>
        </w:numPr>
        <w:spacing w:after="89" w:line="276" w:lineRule="auto"/>
        <w:ind w:left="0" w:firstLine="0"/>
        <w:jc w:val="both"/>
        <w:rPr>
          <w:rFonts w:ascii="Roboto Light" w:hAnsi="Roboto Light"/>
          <w:sz w:val="22"/>
          <w:szCs w:val="22"/>
        </w:rPr>
      </w:pPr>
      <w:r w:rsidRPr="0058612B">
        <w:rPr>
          <w:rFonts w:ascii="Roboto Light" w:hAnsi="Roboto Light"/>
          <w:sz w:val="22"/>
          <w:szCs w:val="22"/>
        </w:rPr>
        <w:t xml:space="preserve">The objective of the consultant assignment is to </w:t>
      </w:r>
      <w:r w:rsidR="0093786B">
        <w:rPr>
          <w:rFonts w:ascii="Roboto Light" w:hAnsi="Roboto Light"/>
          <w:sz w:val="22"/>
          <w:szCs w:val="22"/>
        </w:rPr>
        <w:t xml:space="preserve">support the IsDB evaluation team in </w:t>
      </w:r>
      <w:r w:rsidRPr="0058612B">
        <w:rPr>
          <w:rFonts w:ascii="Roboto Light" w:hAnsi="Roboto Light"/>
          <w:sz w:val="22"/>
          <w:szCs w:val="22"/>
        </w:rPr>
        <w:t>collect</w:t>
      </w:r>
      <w:r w:rsidR="0093786B">
        <w:rPr>
          <w:rFonts w:ascii="Roboto Light" w:hAnsi="Roboto Light"/>
          <w:sz w:val="22"/>
          <w:szCs w:val="22"/>
        </w:rPr>
        <w:t>ing</w:t>
      </w:r>
      <w:r w:rsidRPr="0058612B">
        <w:rPr>
          <w:rFonts w:ascii="Roboto Light" w:hAnsi="Roboto Light"/>
          <w:sz w:val="22"/>
          <w:szCs w:val="22"/>
        </w:rPr>
        <w:t xml:space="preserve"> the necessary data and information and carry</w:t>
      </w:r>
      <w:r w:rsidR="0009256C">
        <w:rPr>
          <w:rFonts w:ascii="Roboto Light" w:hAnsi="Roboto Light"/>
          <w:sz w:val="22"/>
          <w:szCs w:val="22"/>
        </w:rPr>
        <w:t>ing</w:t>
      </w:r>
      <w:r w:rsidRPr="0058612B">
        <w:rPr>
          <w:rFonts w:ascii="Roboto Light" w:hAnsi="Roboto Light"/>
          <w:sz w:val="22"/>
          <w:szCs w:val="22"/>
        </w:rPr>
        <w:t xml:space="preserve"> out analyses to prepare a comprehensive evaluation report on the </w:t>
      </w:r>
      <w:r w:rsidR="00C8151D" w:rsidRPr="0058612B">
        <w:rPr>
          <w:rFonts w:ascii="Roboto Light" w:hAnsi="Roboto Light"/>
          <w:sz w:val="22"/>
          <w:szCs w:val="22"/>
        </w:rPr>
        <w:t xml:space="preserve">IsDB’s health sector </w:t>
      </w:r>
      <w:r w:rsidRPr="0058612B">
        <w:rPr>
          <w:rFonts w:ascii="Roboto Light" w:hAnsi="Roboto Light"/>
          <w:sz w:val="22"/>
          <w:szCs w:val="22"/>
        </w:rPr>
        <w:t xml:space="preserve">interventions. </w:t>
      </w:r>
      <w:r w:rsidR="00C8151D" w:rsidRPr="0058612B">
        <w:rPr>
          <w:rFonts w:ascii="Roboto Light" w:hAnsi="Roboto Light"/>
          <w:sz w:val="22"/>
          <w:szCs w:val="22"/>
        </w:rPr>
        <w:t>T</w:t>
      </w:r>
      <w:r w:rsidRPr="0058612B">
        <w:rPr>
          <w:rFonts w:ascii="Roboto Light" w:hAnsi="Roboto Light"/>
          <w:sz w:val="22"/>
          <w:szCs w:val="22"/>
        </w:rPr>
        <w:t xml:space="preserve">he content of the evaluation report should be supported by solid information, statistics, documented references, </w:t>
      </w:r>
      <w:r w:rsidR="00CC2AFA">
        <w:rPr>
          <w:rFonts w:ascii="Roboto Light" w:hAnsi="Roboto Light"/>
          <w:sz w:val="22"/>
          <w:szCs w:val="22"/>
        </w:rPr>
        <w:t>infograp</w:t>
      </w:r>
      <w:r w:rsidR="008B2BDF">
        <w:rPr>
          <w:rFonts w:ascii="Roboto Light" w:hAnsi="Roboto Light"/>
          <w:sz w:val="22"/>
          <w:szCs w:val="22"/>
        </w:rPr>
        <w:t xml:space="preserve">hics </w:t>
      </w:r>
      <w:r w:rsidRPr="0058612B">
        <w:rPr>
          <w:rFonts w:ascii="Roboto Light" w:hAnsi="Roboto Light"/>
          <w:sz w:val="22"/>
          <w:szCs w:val="22"/>
        </w:rPr>
        <w:t xml:space="preserve">and pictures from selected representative projects </w:t>
      </w:r>
      <w:r w:rsidR="00C8151D" w:rsidRPr="0058612B">
        <w:rPr>
          <w:rFonts w:ascii="Roboto Light" w:hAnsi="Roboto Light"/>
          <w:sz w:val="22"/>
          <w:szCs w:val="22"/>
        </w:rPr>
        <w:t xml:space="preserve">from </w:t>
      </w:r>
      <w:r w:rsidRPr="0058612B">
        <w:rPr>
          <w:rFonts w:ascii="Roboto Light" w:hAnsi="Roboto Light"/>
          <w:sz w:val="22"/>
          <w:szCs w:val="22"/>
        </w:rPr>
        <w:t>country case studies</w:t>
      </w:r>
      <w:r w:rsidR="00C8151D" w:rsidRPr="0058612B">
        <w:rPr>
          <w:rFonts w:ascii="Roboto Light" w:hAnsi="Roboto Light"/>
          <w:sz w:val="22"/>
          <w:szCs w:val="22"/>
        </w:rPr>
        <w:t>. T</w:t>
      </w:r>
      <w:r w:rsidRPr="0058612B">
        <w:rPr>
          <w:rFonts w:ascii="Roboto Light" w:hAnsi="Roboto Light"/>
          <w:sz w:val="22"/>
          <w:szCs w:val="22"/>
        </w:rPr>
        <w:t xml:space="preserve">he consultant is expected to collect </w:t>
      </w:r>
      <w:r w:rsidR="00C8151D" w:rsidRPr="0058612B">
        <w:rPr>
          <w:rFonts w:ascii="Roboto Light" w:hAnsi="Roboto Light"/>
          <w:sz w:val="22"/>
          <w:szCs w:val="22"/>
        </w:rPr>
        <w:t xml:space="preserve">all relevant information from the appropriate sources to process and present </w:t>
      </w:r>
      <w:r w:rsidR="00973D8C" w:rsidRPr="0058612B">
        <w:rPr>
          <w:rFonts w:ascii="Roboto Light" w:hAnsi="Roboto Light"/>
          <w:sz w:val="22"/>
          <w:szCs w:val="22"/>
        </w:rPr>
        <w:t>it</w:t>
      </w:r>
      <w:r w:rsidR="00C8151D" w:rsidRPr="0058612B">
        <w:rPr>
          <w:rFonts w:ascii="Roboto Light" w:hAnsi="Roboto Light"/>
          <w:sz w:val="22"/>
          <w:szCs w:val="22"/>
        </w:rPr>
        <w:t xml:space="preserve"> in the reports in </w:t>
      </w:r>
      <w:r w:rsidR="006742BA" w:rsidRPr="0058612B">
        <w:rPr>
          <w:rFonts w:ascii="Roboto Light" w:hAnsi="Roboto Light"/>
          <w:sz w:val="22"/>
          <w:szCs w:val="22"/>
        </w:rPr>
        <w:t>the form</w:t>
      </w:r>
      <w:r w:rsidR="00C8151D" w:rsidRPr="0058612B">
        <w:rPr>
          <w:rFonts w:ascii="Roboto Light" w:hAnsi="Roboto Light"/>
          <w:sz w:val="22"/>
          <w:szCs w:val="22"/>
        </w:rPr>
        <w:t xml:space="preserve"> of </w:t>
      </w:r>
      <w:r w:rsidRPr="0058612B">
        <w:rPr>
          <w:rFonts w:ascii="Roboto Light" w:hAnsi="Roboto Light"/>
          <w:sz w:val="22"/>
          <w:szCs w:val="22"/>
        </w:rPr>
        <w:t>charts, tables, and graphs</w:t>
      </w:r>
      <w:r w:rsidR="00C8151D" w:rsidRPr="0058612B">
        <w:rPr>
          <w:rFonts w:ascii="Roboto Light" w:hAnsi="Roboto Light"/>
          <w:sz w:val="22"/>
          <w:szCs w:val="22"/>
        </w:rPr>
        <w:t xml:space="preserve">. </w:t>
      </w:r>
      <w:r w:rsidR="006330C5">
        <w:rPr>
          <w:rFonts w:ascii="Roboto Light" w:hAnsi="Roboto Light"/>
          <w:sz w:val="22"/>
          <w:szCs w:val="22"/>
        </w:rPr>
        <w:t xml:space="preserve"> </w:t>
      </w:r>
      <w:r w:rsidRPr="0058612B">
        <w:rPr>
          <w:rFonts w:ascii="Roboto Light" w:hAnsi="Roboto Light"/>
          <w:sz w:val="22"/>
          <w:szCs w:val="22"/>
        </w:rPr>
        <w:t xml:space="preserve"> </w:t>
      </w:r>
    </w:p>
    <w:p w14:paraId="07940A28" w14:textId="77777777" w:rsidR="006330C5" w:rsidRDefault="006330C5" w:rsidP="00957354">
      <w:pPr>
        <w:pStyle w:val="Default"/>
        <w:numPr>
          <w:ilvl w:val="1"/>
          <w:numId w:val="4"/>
        </w:numPr>
        <w:spacing w:after="89" w:line="276" w:lineRule="auto"/>
        <w:ind w:left="0" w:firstLine="0"/>
        <w:jc w:val="both"/>
        <w:rPr>
          <w:rFonts w:ascii="Roboto Light" w:hAnsi="Roboto Light"/>
          <w:sz w:val="22"/>
          <w:szCs w:val="22"/>
        </w:rPr>
      </w:pPr>
      <w:r>
        <w:rPr>
          <w:rFonts w:ascii="Roboto Light" w:hAnsi="Roboto Light"/>
          <w:sz w:val="22"/>
          <w:szCs w:val="22"/>
        </w:rPr>
        <w:t>The main tasks expected from the consultants include:</w:t>
      </w:r>
    </w:p>
    <w:p w14:paraId="355E3A5D" w14:textId="38D6C8EA" w:rsidR="0073460A" w:rsidRPr="00450913" w:rsidRDefault="0073460A" w:rsidP="00957354">
      <w:pPr>
        <w:pStyle w:val="Default"/>
        <w:numPr>
          <w:ilvl w:val="1"/>
          <w:numId w:val="7"/>
        </w:numPr>
        <w:spacing w:after="120"/>
        <w:jc w:val="both"/>
        <w:rPr>
          <w:rFonts w:ascii="Roboto Light" w:hAnsi="Roboto Light"/>
          <w:sz w:val="22"/>
          <w:szCs w:val="22"/>
        </w:rPr>
      </w:pPr>
      <w:r w:rsidRPr="00450913">
        <w:rPr>
          <w:rFonts w:ascii="Roboto Light" w:hAnsi="Roboto Light"/>
          <w:sz w:val="22"/>
          <w:szCs w:val="22"/>
        </w:rPr>
        <w:t xml:space="preserve">Review relevant documentation related to IsDB’s health sector interventions, including project appraisal reports, completion reports, </w:t>
      </w:r>
      <w:r w:rsidR="00332C49">
        <w:rPr>
          <w:rFonts w:ascii="Roboto Light" w:hAnsi="Roboto Light"/>
          <w:sz w:val="22"/>
          <w:szCs w:val="22"/>
        </w:rPr>
        <w:t xml:space="preserve">evaluation reports, </w:t>
      </w:r>
      <w:r w:rsidRPr="00450913">
        <w:rPr>
          <w:rFonts w:ascii="Roboto Light" w:hAnsi="Roboto Light"/>
          <w:sz w:val="22"/>
          <w:szCs w:val="22"/>
        </w:rPr>
        <w:t>strategic and policy documents, and operational guidelines, with a particular focus on the selected case study countries</w:t>
      </w:r>
      <w:r w:rsidR="00063F43">
        <w:rPr>
          <w:rFonts w:ascii="Roboto Light" w:hAnsi="Roboto Light"/>
          <w:sz w:val="22"/>
          <w:szCs w:val="22"/>
        </w:rPr>
        <w:t xml:space="preserve"> and </w:t>
      </w:r>
      <w:proofErr w:type="spellStart"/>
      <w:r w:rsidR="00063F43">
        <w:rPr>
          <w:rFonts w:ascii="Roboto Light" w:hAnsi="Roboto Light"/>
          <w:sz w:val="22"/>
          <w:szCs w:val="22"/>
        </w:rPr>
        <w:t>intergtation</w:t>
      </w:r>
      <w:proofErr w:type="spellEnd"/>
      <w:r w:rsidR="00063F43">
        <w:rPr>
          <w:rFonts w:ascii="Roboto Light" w:hAnsi="Roboto Light"/>
          <w:sz w:val="22"/>
          <w:szCs w:val="22"/>
        </w:rPr>
        <w:t xml:space="preserve"> to the report</w:t>
      </w:r>
      <w:r w:rsidRPr="00450913">
        <w:rPr>
          <w:rFonts w:ascii="Roboto Light" w:hAnsi="Roboto Light"/>
          <w:sz w:val="22"/>
          <w:szCs w:val="22"/>
        </w:rPr>
        <w:t>.</w:t>
      </w:r>
    </w:p>
    <w:p w14:paraId="7AF1E24A" w14:textId="7962652E" w:rsidR="0073460A" w:rsidRPr="00450913" w:rsidRDefault="0073460A" w:rsidP="00957354">
      <w:pPr>
        <w:pStyle w:val="Default"/>
        <w:numPr>
          <w:ilvl w:val="1"/>
          <w:numId w:val="7"/>
        </w:numPr>
        <w:spacing w:after="120"/>
        <w:jc w:val="both"/>
        <w:rPr>
          <w:rFonts w:ascii="Roboto Light" w:hAnsi="Roboto Light"/>
          <w:sz w:val="22"/>
          <w:szCs w:val="22"/>
        </w:rPr>
      </w:pPr>
      <w:r w:rsidRPr="00450913">
        <w:rPr>
          <w:rFonts w:ascii="Roboto Light" w:hAnsi="Roboto Light"/>
          <w:sz w:val="22"/>
          <w:szCs w:val="22"/>
        </w:rPr>
        <w:t>Support the design and implementation of data collection tools such as questionnaires, interview guides, and surveys, ensuring alignment with the evaluation framework and objectives.</w:t>
      </w:r>
    </w:p>
    <w:p w14:paraId="2C832F4A" w14:textId="1C28F103" w:rsidR="0073460A" w:rsidRPr="00450913" w:rsidRDefault="0073460A" w:rsidP="00957354">
      <w:pPr>
        <w:pStyle w:val="Default"/>
        <w:numPr>
          <w:ilvl w:val="1"/>
          <w:numId w:val="7"/>
        </w:numPr>
        <w:spacing w:after="120"/>
        <w:jc w:val="both"/>
        <w:rPr>
          <w:rFonts w:ascii="Roboto Light" w:hAnsi="Roboto Light"/>
          <w:sz w:val="22"/>
          <w:szCs w:val="22"/>
        </w:rPr>
      </w:pPr>
      <w:r w:rsidRPr="00450913">
        <w:rPr>
          <w:rFonts w:ascii="Roboto Light" w:hAnsi="Roboto Light"/>
          <w:sz w:val="22"/>
          <w:szCs w:val="22"/>
        </w:rPr>
        <w:t xml:space="preserve">Conduct a comprehensive review, analysis, and synthesis of previous evaluations—including Project </w:t>
      </w:r>
      <w:r>
        <w:rPr>
          <w:rFonts w:ascii="Roboto Light" w:hAnsi="Roboto Light"/>
          <w:sz w:val="22"/>
          <w:szCs w:val="22"/>
        </w:rPr>
        <w:t xml:space="preserve">Performance </w:t>
      </w:r>
      <w:r w:rsidRPr="00450913">
        <w:rPr>
          <w:rFonts w:ascii="Roboto Light" w:hAnsi="Roboto Light"/>
          <w:sz w:val="22"/>
          <w:szCs w:val="22"/>
        </w:rPr>
        <w:t>Evaluation</w:t>
      </w:r>
      <w:r>
        <w:rPr>
          <w:rFonts w:ascii="Roboto Light" w:hAnsi="Roboto Light"/>
          <w:sz w:val="22"/>
          <w:szCs w:val="22"/>
        </w:rPr>
        <w:t xml:space="preserve"> Report</w:t>
      </w:r>
      <w:r w:rsidRPr="00450913">
        <w:rPr>
          <w:rFonts w:ascii="Roboto Light" w:hAnsi="Roboto Light"/>
          <w:sz w:val="22"/>
          <w:szCs w:val="22"/>
        </w:rPr>
        <w:t>s (PEERs), Synthesis Reports, Country Assistance Evaluations (CAEs), and Cluster and Corporate Evaluations</w:t>
      </w:r>
      <w:r>
        <w:rPr>
          <w:rFonts w:ascii="Roboto Light" w:hAnsi="Roboto Light"/>
          <w:sz w:val="22"/>
          <w:szCs w:val="22"/>
        </w:rPr>
        <w:t xml:space="preserve"> </w:t>
      </w:r>
      <w:r w:rsidRPr="00450913">
        <w:rPr>
          <w:rFonts w:ascii="Roboto Light" w:hAnsi="Roboto Light"/>
          <w:sz w:val="22"/>
          <w:szCs w:val="22"/>
        </w:rPr>
        <w:t>to identify key findings, lessons learned, and recurring themes, and to ensure their integration into the final evaluation report.</w:t>
      </w:r>
    </w:p>
    <w:p w14:paraId="3FB9EDD8" w14:textId="0A08FE29" w:rsidR="0073460A" w:rsidRPr="00450913" w:rsidRDefault="0073460A" w:rsidP="00957354">
      <w:pPr>
        <w:pStyle w:val="Default"/>
        <w:numPr>
          <w:ilvl w:val="1"/>
          <w:numId w:val="7"/>
        </w:numPr>
        <w:spacing w:after="120"/>
        <w:jc w:val="both"/>
        <w:rPr>
          <w:rFonts w:ascii="Roboto Light" w:hAnsi="Roboto Light"/>
          <w:sz w:val="22"/>
          <w:szCs w:val="22"/>
        </w:rPr>
      </w:pPr>
      <w:r w:rsidRPr="00450913">
        <w:rPr>
          <w:rFonts w:ascii="Roboto Light" w:hAnsi="Roboto Light"/>
          <w:sz w:val="22"/>
          <w:szCs w:val="22"/>
        </w:rPr>
        <w:t>Benchmark IsDB’s health sector interventions, strategies, and evaluation practices against those of peer multilateral development banks and other relevant international institutions, to draw comparative insights and highlight areas for alignment with global best practices.</w:t>
      </w:r>
    </w:p>
    <w:p w14:paraId="5BBA7572" w14:textId="57CCDA72" w:rsidR="006330C5" w:rsidRPr="0010209B" w:rsidRDefault="006330C5" w:rsidP="00957354">
      <w:pPr>
        <w:pStyle w:val="Default"/>
        <w:numPr>
          <w:ilvl w:val="1"/>
          <w:numId w:val="7"/>
        </w:numPr>
        <w:spacing w:after="120"/>
        <w:jc w:val="both"/>
        <w:rPr>
          <w:rFonts w:ascii="Roboto Light" w:hAnsi="Roboto Light"/>
          <w:sz w:val="22"/>
          <w:szCs w:val="22"/>
        </w:rPr>
      </w:pPr>
      <w:r w:rsidRPr="00783762">
        <w:rPr>
          <w:rFonts w:ascii="Roboto Light" w:hAnsi="Roboto Light"/>
          <w:sz w:val="22"/>
          <w:szCs w:val="22"/>
        </w:rPr>
        <w:t>Conduct interviews with key stakeholders</w:t>
      </w:r>
      <w:r>
        <w:rPr>
          <w:rFonts w:ascii="Roboto Light" w:hAnsi="Roboto Light"/>
          <w:sz w:val="22"/>
          <w:szCs w:val="22"/>
        </w:rPr>
        <w:t>, c</w:t>
      </w:r>
      <w:r w:rsidRPr="00CA769B">
        <w:rPr>
          <w:rFonts w:ascii="Roboto Light" w:hAnsi="Roboto Light"/>
          <w:sz w:val="22"/>
          <w:szCs w:val="22"/>
        </w:rPr>
        <w:t>ollect and analyze data</w:t>
      </w:r>
      <w:r>
        <w:rPr>
          <w:rFonts w:ascii="Roboto Light" w:hAnsi="Roboto Light"/>
          <w:sz w:val="22"/>
          <w:szCs w:val="22"/>
        </w:rPr>
        <w:t xml:space="preserve">, including </w:t>
      </w:r>
      <w:r w:rsidRPr="00AF09FE">
        <w:rPr>
          <w:rFonts w:ascii="Roboto Light" w:hAnsi="Roboto Light"/>
          <w:sz w:val="22"/>
          <w:szCs w:val="22"/>
        </w:rPr>
        <w:t xml:space="preserve">information on the socio-economic outcomes and impact of IsDB-supported </w:t>
      </w:r>
      <w:r w:rsidR="007F0D77">
        <w:rPr>
          <w:rFonts w:ascii="Roboto Light" w:hAnsi="Roboto Light"/>
          <w:sz w:val="22"/>
          <w:szCs w:val="22"/>
        </w:rPr>
        <w:t>health sector</w:t>
      </w:r>
      <w:r w:rsidRPr="00AF09FE">
        <w:rPr>
          <w:rFonts w:ascii="Roboto Light" w:hAnsi="Roboto Light"/>
          <w:sz w:val="22"/>
          <w:szCs w:val="22"/>
        </w:rPr>
        <w:t xml:space="preserve"> projects within the case study countries</w:t>
      </w:r>
      <w:r w:rsidRPr="0010209B">
        <w:rPr>
          <w:rFonts w:ascii="Roboto Light" w:hAnsi="Roboto Light"/>
          <w:sz w:val="22"/>
          <w:szCs w:val="22"/>
        </w:rPr>
        <w:t>.</w:t>
      </w:r>
    </w:p>
    <w:p w14:paraId="1B387CB2" w14:textId="36FD383B" w:rsidR="006330C5" w:rsidRPr="006403D2" w:rsidRDefault="006330C5" w:rsidP="00957354">
      <w:pPr>
        <w:pStyle w:val="Default"/>
        <w:numPr>
          <w:ilvl w:val="1"/>
          <w:numId w:val="7"/>
        </w:numPr>
        <w:spacing w:after="120"/>
        <w:jc w:val="both"/>
        <w:rPr>
          <w:rFonts w:ascii="Roboto Light" w:hAnsi="Roboto Light"/>
          <w:sz w:val="22"/>
          <w:szCs w:val="22"/>
        </w:rPr>
      </w:pPr>
      <w:r w:rsidRPr="006403D2">
        <w:rPr>
          <w:rFonts w:ascii="Roboto Light" w:hAnsi="Roboto Light"/>
          <w:sz w:val="22"/>
          <w:szCs w:val="22"/>
        </w:rPr>
        <w:t>Co</w:t>
      </w:r>
      <w:r>
        <w:rPr>
          <w:rFonts w:ascii="Roboto Light" w:hAnsi="Roboto Light"/>
          <w:sz w:val="22"/>
          <w:szCs w:val="22"/>
        </w:rPr>
        <w:t xml:space="preserve">llaborate </w:t>
      </w:r>
      <w:r w:rsidRPr="006403D2">
        <w:rPr>
          <w:rFonts w:ascii="Roboto Light" w:hAnsi="Roboto Light"/>
          <w:sz w:val="22"/>
          <w:szCs w:val="22"/>
        </w:rPr>
        <w:t xml:space="preserve">with national counterparts, including ministries and </w:t>
      </w:r>
      <w:r w:rsidR="0073460A" w:rsidRPr="006403D2">
        <w:rPr>
          <w:rFonts w:ascii="Roboto Light" w:hAnsi="Roboto Light"/>
          <w:sz w:val="22"/>
          <w:szCs w:val="22"/>
        </w:rPr>
        <w:t>executive</w:t>
      </w:r>
      <w:r w:rsidRPr="006403D2">
        <w:rPr>
          <w:rFonts w:ascii="Roboto Light" w:hAnsi="Roboto Light"/>
          <w:sz w:val="22"/>
          <w:szCs w:val="22"/>
        </w:rPr>
        <w:t xml:space="preserve"> agencies, to ensure </w:t>
      </w:r>
      <w:r>
        <w:rPr>
          <w:rFonts w:ascii="Roboto Light" w:hAnsi="Roboto Light"/>
          <w:sz w:val="22"/>
          <w:szCs w:val="22"/>
        </w:rPr>
        <w:t xml:space="preserve">the </w:t>
      </w:r>
      <w:r w:rsidRPr="006403D2">
        <w:rPr>
          <w:rFonts w:ascii="Roboto Light" w:hAnsi="Roboto Light"/>
          <w:sz w:val="22"/>
          <w:szCs w:val="22"/>
        </w:rPr>
        <w:t>timely submission of responses to pre-mission questionnaires.</w:t>
      </w:r>
    </w:p>
    <w:p w14:paraId="611469D1" w14:textId="677B1DA0" w:rsidR="006330C5" w:rsidRPr="006509D0" w:rsidRDefault="006330C5" w:rsidP="00957354">
      <w:pPr>
        <w:pStyle w:val="Default"/>
        <w:numPr>
          <w:ilvl w:val="1"/>
          <w:numId w:val="7"/>
        </w:numPr>
        <w:spacing w:after="120"/>
        <w:jc w:val="both"/>
        <w:rPr>
          <w:rFonts w:ascii="Roboto Light" w:hAnsi="Roboto Light"/>
          <w:sz w:val="22"/>
          <w:szCs w:val="22"/>
        </w:rPr>
      </w:pPr>
      <w:r w:rsidRPr="0010209B">
        <w:rPr>
          <w:rFonts w:ascii="Roboto Light" w:hAnsi="Roboto Light"/>
          <w:sz w:val="22"/>
          <w:szCs w:val="22"/>
        </w:rPr>
        <w:t xml:space="preserve">Participate in </w:t>
      </w:r>
      <w:r>
        <w:rPr>
          <w:rFonts w:ascii="Roboto Light" w:hAnsi="Roboto Light"/>
          <w:sz w:val="22"/>
          <w:szCs w:val="22"/>
        </w:rPr>
        <w:t>three</w:t>
      </w:r>
      <w:r w:rsidRPr="0010209B">
        <w:rPr>
          <w:rFonts w:ascii="Roboto Light" w:hAnsi="Roboto Light"/>
          <w:sz w:val="22"/>
          <w:szCs w:val="22"/>
        </w:rPr>
        <w:t xml:space="preserve"> field missions (7–10 working days each) with the </w:t>
      </w:r>
      <w:proofErr w:type="spellStart"/>
      <w:r w:rsidRPr="0010209B">
        <w:rPr>
          <w:rFonts w:ascii="Roboto Light" w:hAnsi="Roboto Light"/>
          <w:sz w:val="22"/>
          <w:szCs w:val="22"/>
        </w:rPr>
        <w:t>IEvD</w:t>
      </w:r>
      <w:proofErr w:type="spellEnd"/>
      <w:r w:rsidRPr="0010209B">
        <w:rPr>
          <w:rFonts w:ascii="Roboto Light" w:hAnsi="Roboto Light"/>
          <w:sz w:val="22"/>
          <w:szCs w:val="22"/>
        </w:rPr>
        <w:t xml:space="preserve"> evaluation team to selected Member Countries</w:t>
      </w:r>
      <w:r>
        <w:rPr>
          <w:rFonts w:ascii="Roboto Light" w:hAnsi="Roboto Light"/>
          <w:sz w:val="22"/>
          <w:szCs w:val="22"/>
        </w:rPr>
        <w:t xml:space="preserve">. These missions will include visits to </w:t>
      </w:r>
      <w:r w:rsidRPr="006509D0">
        <w:rPr>
          <w:rFonts w:ascii="Roboto Light" w:hAnsi="Roboto Light"/>
          <w:sz w:val="22"/>
          <w:szCs w:val="22"/>
        </w:rPr>
        <w:t xml:space="preserve">selected project sites to observe implementation progress and </w:t>
      </w:r>
      <w:r w:rsidR="0073460A" w:rsidRPr="00450913">
        <w:rPr>
          <w:rFonts w:ascii="Roboto Light" w:hAnsi="Roboto Light"/>
          <w:sz w:val="22"/>
          <w:szCs w:val="22"/>
        </w:rPr>
        <w:t>collect field-based evidence to inform the evaluation.</w:t>
      </w:r>
    </w:p>
    <w:p w14:paraId="672C56C2" w14:textId="77777777" w:rsidR="006330C5" w:rsidRPr="00F91BA8" w:rsidRDefault="006330C5" w:rsidP="00957354">
      <w:pPr>
        <w:pStyle w:val="Default"/>
        <w:numPr>
          <w:ilvl w:val="1"/>
          <w:numId w:val="7"/>
        </w:numPr>
        <w:spacing w:after="120"/>
        <w:jc w:val="both"/>
        <w:rPr>
          <w:rFonts w:ascii="Roboto Light" w:hAnsi="Roboto Light"/>
          <w:sz w:val="22"/>
          <w:szCs w:val="22"/>
        </w:rPr>
      </w:pPr>
      <w:r w:rsidRPr="00F91BA8">
        <w:rPr>
          <w:rFonts w:ascii="Roboto Light" w:hAnsi="Roboto Light"/>
          <w:sz w:val="22"/>
          <w:szCs w:val="22"/>
        </w:rPr>
        <w:t>Contribute to the synthesis of findings from field missions, provide input to case study reports and overall evaluation analysis, and p</w:t>
      </w:r>
      <w:r w:rsidRPr="0010209B">
        <w:rPr>
          <w:rFonts w:ascii="Roboto Light" w:hAnsi="Roboto Light"/>
          <w:sz w:val="22"/>
          <w:szCs w:val="22"/>
        </w:rPr>
        <w:t xml:space="preserve">rovide additional data, clarifications, or analysis as needed to support the </w:t>
      </w:r>
      <w:r w:rsidRPr="00F91BA8">
        <w:rPr>
          <w:rFonts w:ascii="Roboto Light" w:hAnsi="Roboto Light"/>
          <w:sz w:val="22"/>
          <w:szCs w:val="22"/>
        </w:rPr>
        <w:t>finalization</w:t>
      </w:r>
      <w:r w:rsidRPr="0010209B">
        <w:rPr>
          <w:rFonts w:ascii="Roboto Light" w:hAnsi="Roboto Light"/>
          <w:sz w:val="22"/>
          <w:szCs w:val="22"/>
        </w:rPr>
        <w:t xml:space="preserve"> of the evaluation report.</w:t>
      </w:r>
    </w:p>
    <w:p w14:paraId="572FDB55" w14:textId="2AFD1DD9" w:rsidR="0073460A" w:rsidRDefault="0073460A" w:rsidP="00957354">
      <w:pPr>
        <w:pStyle w:val="Default"/>
        <w:numPr>
          <w:ilvl w:val="1"/>
          <w:numId w:val="7"/>
        </w:numPr>
        <w:spacing w:after="120"/>
        <w:jc w:val="both"/>
        <w:rPr>
          <w:rFonts w:ascii="Roboto Light" w:hAnsi="Roboto Light"/>
          <w:sz w:val="22"/>
          <w:szCs w:val="22"/>
        </w:rPr>
      </w:pPr>
      <w:r w:rsidRPr="00DD5F7E">
        <w:rPr>
          <w:rFonts w:ascii="Roboto Light" w:hAnsi="Roboto Light"/>
          <w:sz w:val="22"/>
          <w:szCs w:val="22"/>
        </w:rPr>
        <w:lastRenderedPageBreak/>
        <w:t xml:space="preserve">Lead the drafting of the evaluation report, including the initial draft and subsequent revised versions, in close coordination with the </w:t>
      </w:r>
      <w:proofErr w:type="spellStart"/>
      <w:r w:rsidRPr="00DD5F7E">
        <w:rPr>
          <w:rFonts w:ascii="Roboto Light" w:hAnsi="Roboto Light"/>
          <w:sz w:val="22"/>
          <w:szCs w:val="22"/>
        </w:rPr>
        <w:t>IEvD</w:t>
      </w:r>
      <w:proofErr w:type="spellEnd"/>
      <w:r w:rsidRPr="00DD5F7E">
        <w:rPr>
          <w:rFonts w:ascii="Roboto Light" w:hAnsi="Roboto Light"/>
          <w:sz w:val="22"/>
          <w:szCs w:val="22"/>
        </w:rPr>
        <w:t xml:space="preserve"> team. Also </w:t>
      </w:r>
      <w:r w:rsidR="00063F43">
        <w:rPr>
          <w:rFonts w:ascii="Roboto Light" w:hAnsi="Roboto Light"/>
          <w:sz w:val="22"/>
          <w:szCs w:val="22"/>
        </w:rPr>
        <w:t>prepare</w:t>
      </w:r>
      <w:r w:rsidRPr="00DD5F7E">
        <w:rPr>
          <w:rFonts w:ascii="Roboto Light" w:hAnsi="Roboto Light"/>
          <w:sz w:val="22"/>
          <w:szCs w:val="22"/>
        </w:rPr>
        <w:t xml:space="preserve"> the Evaluation Dissemination Note (EDN)</w:t>
      </w:r>
      <w:r w:rsidR="00063F43">
        <w:rPr>
          <w:rFonts w:ascii="Roboto Light" w:hAnsi="Roboto Light"/>
          <w:sz w:val="22"/>
          <w:szCs w:val="22"/>
        </w:rPr>
        <w:t xml:space="preserve"> and PowerPoint presentation</w:t>
      </w:r>
      <w:r w:rsidRPr="00DD5F7E">
        <w:rPr>
          <w:rFonts w:ascii="Roboto Light" w:hAnsi="Roboto Light"/>
          <w:sz w:val="22"/>
          <w:szCs w:val="22"/>
        </w:rPr>
        <w:t>, summarizing key findings, lessons learned, and strategic recommendations for internal and external audiences.</w:t>
      </w:r>
    </w:p>
    <w:p w14:paraId="2B093688" w14:textId="77777777" w:rsidR="006330C5" w:rsidRDefault="006330C5" w:rsidP="00957354">
      <w:pPr>
        <w:pStyle w:val="Default"/>
        <w:numPr>
          <w:ilvl w:val="1"/>
          <w:numId w:val="7"/>
        </w:numPr>
        <w:spacing w:after="120"/>
        <w:jc w:val="both"/>
        <w:rPr>
          <w:rFonts w:ascii="Roboto Light" w:hAnsi="Roboto Light"/>
          <w:sz w:val="22"/>
          <w:szCs w:val="22"/>
        </w:rPr>
      </w:pPr>
      <w:r>
        <w:rPr>
          <w:rFonts w:ascii="Roboto Light" w:hAnsi="Roboto Light"/>
          <w:sz w:val="22"/>
          <w:szCs w:val="22"/>
        </w:rPr>
        <w:t xml:space="preserve">Carry </w:t>
      </w:r>
      <w:r w:rsidRPr="00BD390B">
        <w:rPr>
          <w:rFonts w:ascii="Roboto Light" w:hAnsi="Roboto Light"/>
          <w:sz w:val="22"/>
          <w:szCs w:val="22"/>
        </w:rPr>
        <w:t xml:space="preserve">out </w:t>
      </w:r>
      <w:r>
        <w:rPr>
          <w:rFonts w:ascii="Roboto Light" w:hAnsi="Roboto Light"/>
          <w:sz w:val="22"/>
          <w:szCs w:val="22"/>
        </w:rPr>
        <w:t>any additional</w:t>
      </w:r>
      <w:r w:rsidRPr="00BD390B">
        <w:rPr>
          <w:rFonts w:ascii="Roboto Light" w:hAnsi="Roboto Light"/>
          <w:sz w:val="22"/>
          <w:szCs w:val="22"/>
        </w:rPr>
        <w:t xml:space="preserve"> tasks deemed necessary </w:t>
      </w:r>
      <w:r>
        <w:rPr>
          <w:rFonts w:ascii="Roboto Light" w:hAnsi="Roboto Light"/>
          <w:sz w:val="22"/>
          <w:szCs w:val="22"/>
        </w:rPr>
        <w:t>by the</w:t>
      </w:r>
      <w:r w:rsidRPr="00BD390B">
        <w:rPr>
          <w:rFonts w:ascii="Roboto Light" w:hAnsi="Roboto Light"/>
          <w:sz w:val="22"/>
          <w:szCs w:val="22"/>
        </w:rPr>
        <w:t xml:space="preserve"> </w:t>
      </w:r>
      <w:proofErr w:type="spellStart"/>
      <w:r w:rsidRPr="00BD390B">
        <w:rPr>
          <w:rFonts w:ascii="Roboto Light" w:hAnsi="Roboto Light"/>
          <w:sz w:val="22"/>
          <w:szCs w:val="22"/>
        </w:rPr>
        <w:t>IEvD</w:t>
      </w:r>
      <w:proofErr w:type="spellEnd"/>
      <w:r>
        <w:rPr>
          <w:rFonts w:ascii="Roboto Light" w:hAnsi="Roboto Light"/>
          <w:sz w:val="22"/>
          <w:szCs w:val="22"/>
        </w:rPr>
        <w:t xml:space="preserve"> evaluation team.</w:t>
      </w:r>
    </w:p>
    <w:p w14:paraId="6DFB41F1" w14:textId="4676B622" w:rsidR="00627709" w:rsidRPr="0058612B" w:rsidRDefault="006742BA" w:rsidP="00957354">
      <w:pPr>
        <w:pStyle w:val="Heading2"/>
        <w:numPr>
          <w:ilvl w:val="0"/>
          <w:numId w:val="4"/>
        </w:numPr>
      </w:pPr>
      <w:bookmarkStart w:id="7" w:name="_Toc203985431"/>
      <w:r w:rsidRPr="0058612B">
        <w:t>Deliverables of the Consultant</w:t>
      </w:r>
      <w:bookmarkEnd w:id="7"/>
      <w:r w:rsidRPr="0058612B">
        <w:t xml:space="preserve"> </w:t>
      </w:r>
    </w:p>
    <w:p w14:paraId="51D04BBE" w14:textId="361ED27C" w:rsidR="00D12CE2" w:rsidRPr="00B2386E" w:rsidRDefault="00D12CE2" w:rsidP="00957354">
      <w:pPr>
        <w:pStyle w:val="Default"/>
        <w:numPr>
          <w:ilvl w:val="1"/>
          <w:numId w:val="4"/>
        </w:numPr>
        <w:spacing w:after="89" w:line="276" w:lineRule="auto"/>
        <w:ind w:left="0" w:firstLine="0"/>
        <w:jc w:val="both"/>
        <w:rPr>
          <w:rFonts w:ascii="Roboto Light" w:hAnsi="Roboto Light"/>
          <w:sz w:val="22"/>
          <w:szCs w:val="22"/>
        </w:rPr>
      </w:pPr>
      <w:r w:rsidRPr="0058612B">
        <w:rPr>
          <w:rFonts w:ascii="Roboto Light" w:hAnsi="Roboto Light"/>
          <w:sz w:val="22"/>
          <w:szCs w:val="22"/>
        </w:rPr>
        <w:t xml:space="preserve">The consultant will work with </w:t>
      </w:r>
      <w:r w:rsidR="00B413CA" w:rsidRPr="0058612B">
        <w:rPr>
          <w:rFonts w:ascii="Roboto Light" w:hAnsi="Roboto Light"/>
          <w:sz w:val="22"/>
          <w:szCs w:val="22"/>
        </w:rPr>
        <w:t>the IsDB</w:t>
      </w:r>
      <w:r w:rsidRPr="0058612B">
        <w:rPr>
          <w:rFonts w:ascii="Roboto Light" w:hAnsi="Roboto Light"/>
          <w:sz w:val="22"/>
          <w:szCs w:val="22"/>
        </w:rPr>
        <w:t xml:space="preserve"> designated evaluation team to conduct this </w:t>
      </w:r>
      <w:r w:rsidR="00FB3EA5" w:rsidRPr="0058612B">
        <w:rPr>
          <w:rFonts w:ascii="Roboto Light" w:hAnsi="Roboto Light"/>
          <w:sz w:val="22"/>
          <w:szCs w:val="22"/>
        </w:rPr>
        <w:t>health s</w:t>
      </w:r>
      <w:r w:rsidRPr="0058612B">
        <w:rPr>
          <w:rFonts w:ascii="Roboto Light" w:hAnsi="Roboto Light"/>
          <w:sz w:val="22"/>
          <w:szCs w:val="22"/>
        </w:rPr>
        <w:t xml:space="preserve">ector </w:t>
      </w:r>
      <w:r w:rsidR="00FB3EA5" w:rsidRPr="0058612B">
        <w:rPr>
          <w:rFonts w:ascii="Roboto Light" w:hAnsi="Roboto Light"/>
          <w:sz w:val="22"/>
          <w:szCs w:val="22"/>
        </w:rPr>
        <w:t>e</w:t>
      </w:r>
      <w:r w:rsidRPr="0058612B">
        <w:rPr>
          <w:rFonts w:ascii="Roboto Light" w:hAnsi="Roboto Light"/>
          <w:sz w:val="22"/>
          <w:szCs w:val="22"/>
        </w:rPr>
        <w:t xml:space="preserve">valuation. The deliverables of this consultancy shall be in English except for the </w:t>
      </w:r>
      <w:r w:rsidRPr="00B2386E">
        <w:rPr>
          <w:rFonts w:ascii="Roboto Light" w:hAnsi="Roboto Light"/>
          <w:sz w:val="22"/>
          <w:szCs w:val="22"/>
        </w:rPr>
        <w:t xml:space="preserve">questionnaire which could be in the working language of the selected countries for the case study. </w:t>
      </w:r>
    </w:p>
    <w:p w14:paraId="3EF6928A" w14:textId="3527C037" w:rsidR="00D12CE2" w:rsidRPr="0058612B" w:rsidRDefault="00D12CE2" w:rsidP="00957354">
      <w:pPr>
        <w:pStyle w:val="Default"/>
        <w:numPr>
          <w:ilvl w:val="1"/>
          <w:numId w:val="4"/>
        </w:numPr>
        <w:spacing w:after="89" w:line="276" w:lineRule="auto"/>
        <w:ind w:left="0" w:firstLine="0"/>
        <w:jc w:val="both"/>
        <w:rPr>
          <w:rFonts w:ascii="Roboto Light" w:hAnsi="Roboto Light"/>
          <w:sz w:val="22"/>
          <w:szCs w:val="22"/>
        </w:rPr>
      </w:pPr>
      <w:r w:rsidRPr="0058612B">
        <w:rPr>
          <w:rFonts w:ascii="Roboto Light" w:hAnsi="Roboto Light"/>
          <w:sz w:val="22"/>
          <w:szCs w:val="22"/>
        </w:rPr>
        <w:t xml:space="preserve">The consultant will be responsible for producing the following deliverables: </w:t>
      </w:r>
    </w:p>
    <w:p w14:paraId="14607BCC" w14:textId="577DABEC" w:rsidR="00D12CE2" w:rsidRPr="0058612B" w:rsidRDefault="00200E7C" w:rsidP="00957354">
      <w:pPr>
        <w:pStyle w:val="Default"/>
        <w:numPr>
          <w:ilvl w:val="0"/>
          <w:numId w:val="3"/>
        </w:numPr>
        <w:spacing w:after="89" w:line="276" w:lineRule="auto"/>
        <w:jc w:val="both"/>
        <w:rPr>
          <w:rFonts w:ascii="Roboto Light" w:hAnsi="Roboto Light"/>
          <w:sz w:val="22"/>
          <w:szCs w:val="22"/>
        </w:rPr>
      </w:pPr>
      <w:r>
        <w:rPr>
          <w:rFonts w:ascii="Roboto Light" w:hAnsi="Roboto Light"/>
          <w:sz w:val="22"/>
          <w:szCs w:val="22"/>
        </w:rPr>
        <w:t>Finalize</w:t>
      </w:r>
      <w:r w:rsidRPr="0058612B">
        <w:rPr>
          <w:rFonts w:ascii="Roboto Light" w:hAnsi="Roboto Light"/>
          <w:sz w:val="22"/>
          <w:szCs w:val="22"/>
        </w:rPr>
        <w:t xml:space="preserve"> </w:t>
      </w:r>
      <w:r w:rsidR="00D12CE2" w:rsidRPr="0058612B">
        <w:rPr>
          <w:rFonts w:ascii="Roboto Light" w:hAnsi="Roboto Light"/>
          <w:sz w:val="22"/>
          <w:szCs w:val="22"/>
        </w:rPr>
        <w:t xml:space="preserve">the </w:t>
      </w:r>
      <w:r w:rsidRPr="00200E7C">
        <w:rPr>
          <w:rFonts w:ascii="Roboto Light" w:hAnsi="Roboto Light"/>
          <w:b/>
          <w:bCs/>
          <w:sz w:val="22"/>
          <w:szCs w:val="22"/>
        </w:rPr>
        <w:t xml:space="preserve">draft </w:t>
      </w:r>
      <w:r w:rsidR="00D12CE2" w:rsidRPr="00200E7C">
        <w:rPr>
          <w:rFonts w:ascii="Roboto Light" w:hAnsi="Roboto Light"/>
          <w:b/>
          <w:bCs/>
          <w:sz w:val="22"/>
          <w:szCs w:val="22"/>
        </w:rPr>
        <w:t>approach paper</w:t>
      </w:r>
      <w:r w:rsidR="00D12CE2" w:rsidRPr="0058612B">
        <w:rPr>
          <w:rFonts w:ascii="Roboto Light" w:hAnsi="Roboto Light"/>
          <w:sz w:val="22"/>
          <w:szCs w:val="22"/>
        </w:rPr>
        <w:t xml:space="preserve"> </w:t>
      </w:r>
      <w:r>
        <w:rPr>
          <w:rFonts w:ascii="Roboto Light" w:hAnsi="Roboto Light"/>
          <w:sz w:val="22"/>
          <w:szCs w:val="22"/>
        </w:rPr>
        <w:t xml:space="preserve">prepared the </w:t>
      </w:r>
      <w:proofErr w:type="spellStart"/>
      <w:r>
        <w:rPr>
          <w:rFonts w:ascii="Roboto Light" w:hAnsi="Roboto Light"/>
          <w:sz w:val="22"/>
          <w:szCs w:val="22"/>
        </w:rPr>
        <w:t>IEvD</w:t>
      </w:r>
      <w:proofErr w:type="spellEnd"/>
      <w:r>
        <w:rPr>
          <w:rFonts w:ascii="Roboto Light" w:hAnsi="Roboto Light"/>
          <w:sz w:val="22"/>
          <w:szCs w:val="22"/>
        </w:rPr>
        <w:t xml:space="preserve"> evaluation team </w:t>
      </w:r>
      <w:r w:rsidR="00D12CE2" w:rsidRPr="0058612B">
        <w:rPr>
          <w:rFonts w:ascii="Roboto Light" w:hAnsi="Roboto Light"/>
          <w:sz w:val="22"/>
          <w:szCs w:val="22"/>
        </w:rPr>
        <w:t xml:space="preserve">that will be submitted to the </w:t>
      </w:r>
      <w:proofErr w:type="spellStart"/>
      <w:r w:rsidR="00D12CE2" w:rsidRPr="0058612B">
        <w:rPr>
          <w:rFonts w:ascii="Roboto Light" w:hAnsi="Roboto Light"/>
          <w:sz w:val="22"/>
          <w:szCs w:val="22"/>
        </w:rPr>
        <w:t>IEvD</w:t>
      </w:r>
      <w:proofErr w:type="spellEnd"/>
      <w:r w:rsidR="00D12CE2" w:rsidRPr="0058612B">
        <w:rPr>
          <w:rFonts w:ascii="Roboto Light" w:hAnsi="Roboto Light"/>
          <w:sz w:val="22"/>
          <w:szCs w:val="22"/>
        </w:rPr>
        <w:t xml:space="preserve"> for endorsement detailing: (i) the approach and methodology of the evaluation including the methodology for data collection and analys</w:t>
      </w:r>
      <w:r w:rsidR="007C5ED0">
        <w:rPr>
          <w:rFonts w:ascii="Roboto Light" w:hAnsi="Roboto Light"/>
          <w:sz w:val="22"/>
          <w:szCs w:val="22"/>
        </w:rPr>
        <w:t>is</w:t>
      </w:r>
      <w:r w:rsidR="00D12CE2" w:rsidRPr="0058612B">
        <w:rPr>
          <w:rFonts w:ascii="Roboto Light" w:hAnsi="Roboto Light"/>
          <w:sz w:val="22"/>
          <w:szCs w:val="22"/>
        </w:rPr>
        <w:t xml:space="preserve"> as well as detailed evaluation questions; (ii) a Theory of Change for </w:t>
      </w:r>
      <w:r w:rsidR="00FB3EA5" w:rsidRPr="0058612B">
        <w:rPr>
          <w:rFonts w:ascii="Roboto Light" w:hAnsi="Roboto Light"/>
          <w:sz w:val="22"/>
          <w:szCs w:val="22"/>
        </w:rPr>
        <w:t>health s</w:t>
      </w:r>
      <w:r w:rsidR="00D12CE2" w:rsidRPr="0058612B">
        <w:rPr>
          <w:rFonts w:ascii="Roboto Light" w:hAnsi="Roboto Light"/>
          <w:sz w:val="22"/>
          <w:szCs w:val="22"/>
        </w:rPr>
        <w:t xml:space="preserve">ector </w:t>
      </w:r>
      <w:r w:rsidR="00FB3EA5" w:rsidRPr="0058612B">
        <w:rPr>
          <w:rFonts w:ascii="Roboto Light" w:hAnsi="Roboto Light"/>
          <w:sz w:val="22"/>
          <w:szCs w:val="22"/>
        </w:rPr>
        <w:t>i</w:t>
      </w:r>
      <w:r w:rsidR="00D12CE2" w:rsidRPr="0058612B">
        <w:rPr>
          <w:rFonts w:ascii="Roboto Light" w:hAnsi="Roboto Light"/>
          <w:sz w:val="22"/>
          <w:szCs w:val="22"/>
        </w:rPr>
        <w:t xml:space="preserve">nterventions of IsDB and Evaluation Framework (iii) a desk review of the related documents; (iv) proposed schedule/work plan of the evaluation activities, (v) schedule for the meetings and the field visit for the country case studies, (vi) data collection tools; </w:t>
      </w:r>
      <w:r w:rsidR="000B52F7" w:rsidRPr="0058612B">
        <w:rPr>
          <w:rFonts w:ascii="Roboto Light" w:hAnsi="Roboto Light"/>
          <w:sz w:val="22"/>
          <w:szCs w:val="22"/>
        </w:rPr>
        <w:t xml:space="preserve">and </w:t>
      </w:r>
      <w:r w:rsidR="00D12CE2" w:rsidRPr="0058612B">
        <w:rPr>
          <w:rFonts w:ascii="Roboto Light" w:hAnsi="Roboto Light"/>
          <w:sz w:val="22"/>
          <w:szCs w:val="22"/>
        </w:rPr>
        <w:t>(vii) the questionnaires for the stakeholders</w:t>
      </w:r>
      <w:r w:rsidR="00510147">
        <w:rPr>
          <w:rFonts w:ascii="Roboto Light" w:hAnsi="Roboto Light"/>
          <w:sz w:val="22"/>
          <w:szCs w:val="22"/>
        </w:rPr>
        <w:t xml:space="preserve"> and other tools.  </w:t>
      </w:r>
    </w:p>
    <w:p w14:paraId="5479F569" w14:textId="2B7E32C8" w:rsidR="00D12CE2" w:rsidRPr="0058612B" w:rsidRDefault="00D12CE2" w:rsidP="00957354">
      <w:pPr>
        <w:pStyle w:val="Default"/>
        <w:numPr>
          <w:ilvl w:val="0"/>
          <w:numId w:val="3"/>
        </w:numPr>
        <w:spacing w:after="89" w:line="276" w:lineRule="auto"/>
        <w:jc w:val="both"/>
        <w:rPr>
          <w:rFonts w:ascii="Roboto Light" w:hAnsi="Roboto Light"/>
          <w:sz w:val="22"/>
          <w:szCs w:val="22"/>
        </w:rPr>
      </w:pPr>
      <w:r w:rsidRPr="0058612B">
        <w:rPr>
          <w:rFonts w:ascii="Roboto Light" w:hAnsi="Roboto Light"/>
          <w:sz w:val="22"/>
          <w:szCs w:val="22"/>
        </w:rPr>
        <w:t>T</w:t>
      </w:r>
      <w:r w:rsidR="00F90BB5">
        <w:rPr>
          <w:rFonts w:ascii="Roboto Light" w:hAnsi="Roboto Light"/>
          <w:sz w:val="22"/>
          <w:szCs w:val="22"/>
        </w:rPr>
        <w:t>hree</w:t>
      </w:r>
      <w:r w:rsidRPr="0058612B">
        <w:rPr>
          <w:rFonts w:ascii="Roboto Light" w:hAnsi="Roboto Light"/>
          <w:sz w:val="22"/>
          <w:szCs w:val="22"/>
        </w:rPr>
        <w:t xml:space="preserve"> </w:t>
      </w:r>
      <w:r w:rsidR="008B15FC" w:rsidRPr="007F13D6">
        <w:rPr>
          <w:rFonts w:ascii="Roboto Light" w:hAnsi="Roboto Light"/>
          <w:b/>
          <w:bCs/>
          <w:sz w:val="22"/>
          <w:szCs w:val="22"/>
        </w:rPr>
        <w:t>C</w:t>
      </w:r>
      <w:r w:rsidRPr="007F13D6">
        <w:rPr>
          <w:rFonts w:ascii="Roboto Light" w:hAnsi="Roboto Light"/>
          <w:b/>
          <w:bCs/>
          <w:sz w:val="22"/>
          <w:szCs w:val="22"/>
        </w:rPr>
        <w:t>omprehensive Back-To-Office Reports</w:t>
      </w:r>
      <w:r w:rsidR="008B15FC" w:rsidRPr="007F13D6">
        <w:rPr>
          <w:rFonts w:ascii="Roboto Light" w:hAnsi="Roboto Light"/>
          <w:b/>
          <w:bCs/>
          <w:sz w:val="22"/>
          <w:szCs w:val="22"/>
        </w:rPr>
        <w:t xml:space="preserve"> (BTOR)</w:t>
      </w:r>
      <w:r w:rsidRPr="0058612B">
        <w:rPr>
          <w:rFonts w:ascii="Roboto Light" w:hAnsi="Roboto Light"/>
          <w:sz w:val="22"/>
          <w:szCs w:val="22"/>
        </w:rPr>
        <w:t xml:space="preserve">, each prepared within one week after </w:t>
      </w:r>
      <w:r w:rsidR="00C91B06" w:rsidRPr="0058612B">
        <w:rPr>
          <w:rFonts w:ascii="Roboto Light" w:hAnsi="Roboto Light"/>
          <w:sz w:val="22"/>
          <w:szCs w:val="22"/>
        </w:rPr>
        <w:t xml:space="preserve">each of the </w:t>
      </w:r>
      <w:r w:rsidRPr="0058612B">
        <w:rPr>
          <w:rFonts w:ascii="Roboto Light" w:hAnsi="Roboto Light"/>
          <w:sz w:val="22"/>
          <w:szCs w:val="22"/>
        </w:rPr>
        <w:t xml:space="preserve">respective field mission, reflecting the main key findings, lessons learned, and recommendations. </w:t>
      </w:r>
    </w:p>
    <w:p w14:paraId="65C88EBD" w14:textId="3B098046" w:rsidR="00D12CE2" w:rsidRPr="0058612B" w:rsidRDefault="00C91B06" w:rsidP="00957354">
      <w:pPr>
        <w:pStyle w:val="Default"/>
        <w:numPr>
          <w:ilvl w:val="0"/>
          <w:numId w:val="3"/>
        </w:numPr>
        <w:spacing w:after="89" w:line="276" w:lineRule="auto"/>
        <w:jc w:val="both"/>
        <w:rPr>
          <w:rFonts w:ascii="Roboto Light" w:hAnsi="Roboto Light"/>
          <w:sz w:val="22"/>
          <w:szCs w:val="22"/>
        </w:rPr>
      </w:pPr>
      <w:r w:rsidRPr="007F06CF">
        <w:rPr>
          <w:rFonts w:ascii="Roboto Light" w:hAnsi="Roboto Light"/>
          <w:b/>
          <w:bCs/>
          <w:sz w:val="22"/>
          <w:szCs w:val="22"/>
        </w:rPr>
        <w:t>D</w:t>
      </w:r>
      <w:r w:rsidR="00D12CE2" w:rsidRPr="007F06CF">
        <w:rPr>
          <w:rFonts w:ascii="Roboto Light" w:hAnsi="Roboto Light"/>
          <w:b/>
          <w:bCs/>
          <w:sz w:val="22"/>
          <w:szCs w:val="22"/>
        </w:rPr>
        <w:t>raft Country Case Study Reports (V0.1)</w:t>
      </w:r>
      <w:r w:rsidR="00D12CE2" w:rsidRPr="0058612B">
        <w:rPr>
          <w:rFonts w:ascii="Roboto Light" w:hAnsi="Roboto Light"/>
          <w:sz w:val="22"/>
          <w:szCs w:val="22"/>
        </w:rPr>
        <w:t xml:space="preserve"> to be submitted to the </w:t>
      </w:r>
      <w:proofErr w:type="spellStart"/>
      <w:r w:rsidR="00D12CE2" w:rsidRPr="0058612B">
        <w:rPr>
          <w:rFonts w:ascii="Roboto Light" w:hAnsi="Roboto Light"/>
          <w:sz w:val="22"/>
          <w:szCs w:val="22"/>
        </w:rPr>
        <w:t>IEvD</w:t>
      </w:r>
      <w:proofErr w:type="spellEnd"/>
      <w:r w:rsidR="00D12CE2" w:rsidRPr="0058612B">
        <w:rPr>
          <w:rFonts w:ascii="Roboto Light" w:hAnsi="Roboto Light"/>
          <w:sz w:val="22"/>
          <w:szCs w:val="22"/>
        </w:rPr>
        <w:t xml:space="preserve"> four </w:t>
      </w:r>
      <w:r w:rsidR="008F7FE1">
        <w:rPr>
          <w:rFonts w:ascii="Roboto Light" w:hAnsi="Roboto Light"/>
          <w:sz w:val="22"/>
          <w:szCs w:val="22"/>
        </w:rPr>
        <w:t xml:space="preserve">(4) </w:t>
      </w:r>
      <w:r w:rsidR="00D12CE2" w:rsidRPr="0058612B">
        <w:rPr>
          <w:rFonts w:ascii="Roboto Light" w:hAnsi="Roboto Light"/>
          <w:sz w:val="22"/>
          <w:szCs w:val="22"/>
        </w:rPr>
        <w:t xml:space="preserve">weeks after completion of </w:t>
      </w:r>
      <w:r w:rsidR="002B3A24">
        <w:rPr>
          <w:rFonts w:ascii="Roboto Light" w:hAnsi="Roboto Light"/>
          <w:sz w:val="22"/>
          <w:szCs w:val="22"/>
        </w:rPr>
        <w:t>the</w:t>
      </w:r>
      <w:r w:rsidR="002B3A24" w:rsidRPr="0058612B">
        <w:rPr>
          <w:rFonts w:ascii="Roboto Light" w:hAnsi="Roboto Light"/>
          <w:sz w:val="22"/>
          <w:szCs w:val="22"/>
        </w:rPr>
        <w:t xml:space="preserve"> </w:t>
      </w:r>
      <w:r w:rsidR="00D12CE2" w:rsidRPr="0058612B">
        <w:rPr>
          <w:rFonts w:ascii="Roboto Light" w:hAnsi="Roboto Light"/>
          <w:sz w:val="22"/>
          <w:szCs w:val="22"/>
        </w:rPr>
        <w:t xml:space="preserve">respective field missions for review and comments. The </w:t>
      </w:r>
      <w:proofErr w:type="spellStart"/>
      <w:r w:rsidR="00D12CE2" w:rsidRPr="0058612B">
        <w:rPr>
          <w:rFonts w:ascii="Roboto Light" w:hAnsi="Roboto Light"/>
          <w:sz w:val="22"/>
          <w:szCs w:val="22"/>
        </w:rPr>
        <w:t>IEvD</w:t>
      </w:r>
      <w:proofErr w:type="spellEnd"/>
      <w:r w:rsidR="00D12CE2" w:rsidRPr="0058612B">
        <w:rPr>
          <w:rFonts w:ascii="Roboto Light" w:hAnsi="Roboto Light"/>
          <w:sz w:val="22"/>
          <w:szCs w:val="22"/>
        </w:rPr>
        <w:t xml:space="preserve"> will </w:t>
      </w:r>
      <w:r w:rsidR="008F7FE1">
        <w:rPr>
          <w:rFonts w:ascii="Roboto Light" w:hAnsi="Roboto Light"/>
          <w:sz w:val="22"/>
          <w:szCs w:val="22"/>
        </w:rPr>
        <w:t>provide</w:t>
      </w:r>
      <w:r w:rsidR="00D12CE2" w:rsidRPr="0058612B">
        <w:rPr>
          <w:rFonts w:ascii="Roboto Light" w:hAnsi="Roboto Light"/>
          <w:sz w:val="22"/>
          <w:szCs w:val="22"/>
        </w:rPr>
        <w:t xml:space="preserve"> </w:t>
      </w:r>
      <w:r w:rsidR="00450913">
        <w:rPr>
          <w:rFonts w:ascii="Roboto Light" w:hAnsi="Roboto Light"/>
          <w:sz w:val="22"/>
          <w:szCs w:val="22"/>
        </w:rPr>
        <w:t>feedback</w:t>
      </w:r>
      <w:r w:rsidR="002B3A24">
        <w:rPr>
          <w:rFonts w:ascii="Roboto Light" w:hAnsi="Roboto Light"/>
          <w:sz w:val="22"/>
          <w:szCs w:val="22"/>
        </w:rPr>
        <w:t xml:space="preserve"> </w:t>
      </w:r>
      <w:r w:rsidR="00D12CE2" w:rsidRPr="0058612B">
        <w:rPr>
          <w:rFonts w:ascii="Roboto Light" w:hAnsi="Roboto Light"/>
          <w:sz w:val="22"/>
          <w:szCs w:val="22"/>
        </w:rPr>
        <w:t xml:space="preserve">to the consultant after receiving the draft reports. </w:t>
      </w:r>
      <w:r w:rsidR="00894869" w:rsidRPr="00E446D4">
        <w:rPr>
          <w:rFonts w:ascii="Roboto Light" w:hAnsi="Roboto Light"/>
          <w:sz w:val="22"/>
          <w:szCs w:val="22"/>
        </w:rPr>
        <w:t xml:space="preserve">Based on this feedback, </w:t>
      </w:r>
      <w:r w:rsidR="00894869">
        <w:rPr>
          <w:rFonts w:ascii="Roboto Light" w:hAnsi="Roboto Light"/>
          <w:sz w:val="22"/>
          <w:szCs w:val="22"/>
        </w:rPr>
        <w:t>t</w:t>
      </w:r>
      <w:r w:rsidR="00D12CE2" w:rsidRPr="0058612B">
        <w:rPr>
          <w:rFonts w:ascii="Roboto Light" w:hAnsi="Roboto Light"/>
          <w:sz w:val="22"/>
          <w:szCs w:val="22"/>
        </w:rPr>
        <w:t>he consultant should submit updated draft reports (V0.2) within seven (7) working days.</w:t>
      </w:r>
      <w:r w:rsidR="007D5935">
        <w:rPr>
          <w:rFonts w:ascii="Roboto Light" w:hAnsi="Roboto Light"/>
          <w:sz w:val="22"/>
          <w:szCs w:val="22"/>
        </w:rPr>
        <w:t xml:space="preserve"> </w:t>
      </w:r>
      <w:r w:rsidR="007D5935" w:rsidRPr="00E446D4">
        <w:rPr>
          <w:rFonts w:ascii="Roboto Light" w:hAnsi="Roboto Light"/>
          <w:sz w:val="22"/>
          <w:szCs w:val="22"/>
        </w:rPr>
        <w:t xml:space="preserve">The report template will be discussed during the preparation stage for the approach paper. </w:t>
      </w:r>
      <w:r w:rsidR="00D12CE2" w:rsidRPr="0058612B">
        <w:rPr>
          <w:rFonts w:ascii="Roboto Light" w:hAnsi="Roboto Light"/>
          <w:sz w:val="22"/>
          <w:szCs w:val="22"/>
        </w:rPr>
        <w:t xml:space="preserve"> </w:t>
      </w:r>
    </w:p>
    <w:p w14:paraId="7517F5DD" w14:textId="263DC58F" w:rsidR="00D12CE2" w:rsidRPr="0058612B" w:rsidRDefault="00D12CE2" w:rsidP="00957354">
      <w:pPr>
        <w:pStyle w:val="Default"/>
        <w:numPr>
          <w:ilvl w:val="0"/>
          <w:numId w:val="3"/>
        </w:numPr>
        <w:spacing w:after="89" w:line="276" w:lineRule="auto"/>
        <w:jc w:val="both"/>
        <w:rPr>
          <w:rFonts w:ascii="Roboto Light" w:hAnsi="Roboto Light"/>
          <w:sz w:val="22"/>
          <w:szCs w:val="22"/>
        </w:rPr>
      </w:pPr>
      <w:r w:rsidRPr="008F7FE1">
        <w:rPr>
          <w:rFonts w:ascii="Roboto Light" w:hAnsi="Roboto Light"/>
          <w:b/>
          <w:bCs/>
          <w:sz w:val="22"/>
          <w:szCs w:val="22"/>
        </w:rPr>
        <w:t>A draft Evaluation Report (V0.1)</w:t>
      </w:r>
      <w:r w:rsidRPr="0058612B">
        <w:rPr>
          <w:rFonts w:ascii="Roboto Light" w:hAnsi="Roboto Light"/>
          <w:sz w:val="22"/>
          <w:szCs w:val="22"/>
        </w:rPr>
        <w:t xml:space="preserve"> is to be submitted to the </w:t>
      </w:r>
      <w:proofErr w:type="spellStart"/>
      <w:r w:rsidRPr="0058612B">
        <w:rPr>
          <w:rFonts w:ascii="Roboto Light" w:hAnsi="Roboto Light"/>
          <w:sz w:val="22"/>
          <w:szCs w:val="22"/>
        </w:rPr>
        <w:t>IEvD</w:t>
      </w:r>
      <w:proofErr w:type="spellEnd"/>
      <w:r w:rsidRPr="0058612B">
        <w:rPr>
          <w:rFonts w:ascii="Roboto Light" w:hAnsi="Roboto Light"/>
          <w:sz w:val="22"/>
          <w:szCs w:val="22"/>
        </w:rPr>
        <w:t xml:space="preserve"> </w:t>
      </w:r>
      <w:r w:rsidR="00B7276E">
        <w:rPr>
          <w:rFonts w:ascii="Roboto Light" w:hAnsi="Roboto Light"/>
          <w:sz w:val="22"/>
          <w:szCs w:val="22"/>
        </w:rPr>
        <w:t xml:space="preserve">6 </w:t>
      </w:r>
      <w:r w:rsidRPr="0058612B">
        <w:rPr>
          <w:rFonts w:ascii="Roboto Light" w:hAnsi="Roboto Light"/>
          <w:sz w:val="22"/>
          <w:szCs w:val="22"/>
        </w:rPr>
        <w:t>(</w:t>
      </w:r>
      <w:r w:rsidR="00544012">
        <w:rPr>
          <w:rFonts w:ascii="Roboto Light" w:hAnsi="Roboto Light"/>
          <w:sz w:val="22"/>
          <w:szCs w:val="22"/>
        </w:rPr>
        <w:t>six</w:t>
      </w:r>
      <w:r w:rsidR="00447C46">
        <w:rPr>
          <w:rFonts w:ascii="Roboto Light" w:hAnsi="Roboto Light"/>
          <w:sz w:val="22"/>
          <w:szCs w:val="22"/>
        </w:rPr>
        <w:t>)</w:t>
      </w:r>
      <w:r w:rsidRPr="0058612B">
        <w:rPr>
          <w:rFonts w:ascii="Roboto Light" w:hAnsi="Roboto Light"/>
          <w:sz w:val="22"/>
          <w:szCs w:val="22"/>
        </w:rPr>
        <w:t xml:space="preserve"> weeks after receiving the </w:t>
      </w:r>
      <w:proofErr w:type="spellStart"/>
      <w:r w:rsidRPr="0058612B">
        <w:rPr>
          <w:rFonts w:ascii="Roboto Light" w:hAnsi="Roboto Light"/>
          <w:sz w:val="22"/>
          <w:szCs w:val="22"/>
        </w:rPr>
        <w:t>IEvD</w:t>
      </w:r>
      <w:proofErr w:type="spellEnd"/>
      <w:r w:rsidRPr="0058612B">
        <w:rPr>
          <w:rFonts w:ascii="Roboto Light" w:hAnsi="Roboto Light"/>
          <w:sz w:val="22"/>
          <w:szCs w:val="22"/>
        </w:rPr>
        <w:t xml:space="preserve"> feedback on the countries' case studies reports for review and comments. </w:t>
      </w:r>
      <w:r w:rsidR="006D4945" w:rsidRPr="006D4945">
        <w:rPr>
          <w:rFonts w:ascii="Roboto Light" w:hAnsi="Roboto Light"/>
          <w:sz w:val="22"/>
          <w:szCs w:val="22"/>
        </w:rPr>
        <w:t xml:space="preserve">After examining the draft report, the </w:t>
      </w:r>
      <w:proofErr w:type="spellStart"/>
      <w:r w:rsidR="006D4945" w:rsidRPr="006D4945">
        <w:rPr>
          <w:rFonts w:ascii="Roboto Light" w:hAnsi="Roboto Light"/>
          <w:sz w:val="22"/>
          <w:szCs w:val="22"/>
        </w:rPr>
        <w:t>IEvD</w:t>
      </w:r>
      <w:proofErr w:type="spellEnd"/>
      <w:r w:rsidR="006D4945" w:rsidRPr="006D4945">
        <w:rPr>
          <w:rFonts w:ascii="Roboto Light" w:hAnsi="Roboto Light"/>
          <w:sz w:val="22"/>
          <w:szCs w:val="22"/>
        </w:rPr>
        <w:t xml:space="preserve"> will provide feedback to the Consultant. The Consultant must submit an updated draft report (V0.2) within fifteen (15) working days, incorporating the </w:t>
      </w:r>
      <w:proofErr w:type="spellStart"/>
      <w:r w:rsidR="006D4945" w:rsidRPr="006D4945">
        <w:rPr>
          <w:rFonts w:ascii="Roboto Light" w:hAnsi="Roboto Light"/>
          <w:sz w:val="22"/>
          <w:szCs w:val="22"/>
        </w:rPr>
        <w:t>IEvD's</w:t>
      </w:r>
      <w:proofErr w:type="spellEnd"/>
      <w:r w:rsidR="006D4945" w:rsidRPr="006D4945">
        <w:rPr>
          <w:rFonts w:ascii="Roboto Light" w:hAnsi="Roboto Light"/>
          <w:sz w:val="22"/>
          <w:szCs w:val="22"/>
        </w:rPr>
        <w:t xml:space="preserve"> feedback. Subsequently, the </w:t>
      </w:r>
      <w:proofErr w:type="spellStart"/>
      <w:r w:rsidR="006D4945" w:rsidRPr="006D4945">
        <w:rPr>
          <w:rFonts w:ascii="Roboto Light" w:hAnsi="Roboto Light"/>
          <w:sz w:val="22"/>
          <w:szCs w:val="22"/>
        </w:rPr>
        <w:t>IEvD</w:t>
      </w:r>
      <w:proofErr w:type="spellEnd"/>
      <w:r w:rsidR="006D4945" w:rsidRPr="006D4945">
        <w:rPr>
          <w:rFonts w:ascii="Roboto Light" w:hAnsi="Roboto Light"/>
          <w:sz w:val="22"/>
          <w:szCs w:val="22"/>
        </w:rPr>
        <w:t xml:space="preserve"> will share the revised draft report and the updated country case study reports with the relevant IsDB departments for their comments. The report template will be reviewed during the preparation of the approach paper. </w:t>
      </w:r>
      <w:r w:rsidR="00A42E96" w:rsidRPr="0058612B">
        <w:rPr>
          <w:rFonts w:ascii="Roboto Light" w:hAnsi="Roboto Light"/>
          <w:sz w:val="22"/>
          <w:szCs w:val="22"/>
        </w:rPr>
        <w:t xml:space="preserve"> </w:t>
      </w:r>
      <w:r w:rsidRPr="0058612B">
        <w:rPr>
          <w:rFonts w:ascii="Roboto Light" w:hAnsi="Roboto Light"/>
          <w:sz w:val="22"/>
          <w:szCs w:val="22"/>
        </w:rPr>
        <w:t xml:space="preserve"> </w:t>
      </w:r>
    </w:p>
    <w:p w14:paraId="3340068A" w14:textId="51E387D5" w:rsidR="00D12CE2" w:rsidRPr="0058612B" w:rsidRDefault="00D12CE2" w:rsidP="00957354">
      <w:pPr>
        <w:pStyle w:val="Default"/>
        <w:numPr>
          <w:ilvl w:val="0"/>
          <w:numId w:val="3"/>
        </w:numPr>
        <w:spacing w:after="89" w:line="276" w:lineRule="auto"/>
        <w:jc w:val="both"/>
        <w:rPr>
          <w:rFonts w:ascii="Roboto Light" w:hAnsi="Roboto Light"/>
          <w:sz w:val="22"/>
          <w:szCs w:val="22"/>
        </w:rPr>
      </w:pPr>
      <w:r w:rsidRPr="00550BD1">
        <w:rPr>
          <w:rFonts w:ascii="Roboto Light" w:hAnsi="Roboto Light"/>
          <w:b/>
          <w:bCs/>
          <w:sz w:val="22"/>
          <w:szCs w:val="22"/>
        </w:rPr>
        <w:lastRenderedPageBreak/>
        <w:t>A final Report</w:t>
      </w:r>
      <w:r w:rsidR="00550BD1">
        <w:rPr>
          <w:rFonts w:ascii="Roboto Light" w:hAnsi="Roboto Light"/>
          <w:b/>
          <w:bCs/>
          <w:sz w:val="22"/>
          <w:szCs w:val="22"/>
        </w:rPr>
        <w:t>,</w:t>
      </w:r>
      <w:r w:rsidRPr="0058612B">
        <w:rPr>
          <w:rFonts w:ascii="Roboto Light" w:hAnsi="Roboto Light"/>
          <w:sz w:val="22"/>
          <w:szCs w:val="22"/>
        </w:rPr>
        <w:t xml:space="preserve"> including a recommendation and follow-up matrix</w:t>
      </w:r>
      <w:r w:rsidR="005F0CBB">
        <w:rPr>
          <w:rFonts w:ascii="Roboto Light" w:hAnsi="Roboto Light"/>
          <w:sz w:val="22"/>
          <w:szCs w:val="22"/>
        </w:rPr>
        <w:t>, will</w:t>
      </w:r>
      <w:r w:rsidRPr="0058612B">
        <w:rPr>
          <w:rFonts w:ascii="Roboto Light" w:hAnsi="Roboto Light"/>
          <w:sz w:val="22"/>
          <w:szCs w:val="22"/>
        </w:rPr>
        <w:t xml:space="preserve"> be handed over to the </w:t>
      </w:r>
      <w:proofErr w:type="spellStart"/>
      <w:r w:rsidRPr="0058612B">
        <w:rPr>
          <w:rFonts w:ascii="Roboto Light" w:hAnsi="Roboto Light"/>
          <w:sz w:val="22"/>
          <w:szCs w:val="22"/>
        </w:rPr>
        <w:t>IEvD</w:t>
      </w:r>
      <w:proofErr w:type="spellEnd"/>
      <w:r w:rsidRPr="0058612B">
        <w:rPr>
          <w:rFonts w:ascii="Roboto Light" w:hAnsi="Roboto Light"/>
          <w:sz w:val="22"/>
          <w:szCs w:val="22"/>
        </w:rPr>
        <w:t xml:space="preserve"> within</w:t>
      </w:r>
      <w:r w:rsidR="00295EC6">
        <w:rPr>
          <w:rFonts w:ascii="Roboto Light" w:hAnsi="Roboto Light"/>
          <w:sz w:val="22"/>
          <w:szCs w:val="22"/>
        </w:rPr>
        <w:t xml:space="preserve"> 3</w:t>
      </w:r>
      <w:r w:rsidRPr="0058612B">
        <w:rPr>
          <w:rFonts w:ascii="Roboto Light" w:hAnsi="Roboto Light"/>
          <w:sz w:val="22"/>
          <w:szCs w:val="22"/>
        </w:rPr>
        <w:t xml:space="preserve"> </w:t>
      </w:r>
      <w:r w:rsidR="00295EC6">
        <w:rPr>
          <w:rFonts w:ascii="Roboto Light" w:hAnsi="Roboto Light"/>
          <w:sz w:val="22"/>
          <w:szCs w:val="22"/>
        </w:rPr>
        <w:t>(</w:t>
      </w:r>
      <w:r w:rsidRPr="0058612B">
        <w:rPr>
          <w:rFonts w:ascii="Roboto Light" w:hAnsi="Roboto Light"/>
          <w:sz w:val="22"/>
          <w:szCs w:val="22"/>
        </w:rPr>
        <w:t>three</w:t>
      </w:r>
      <w:r w:rsidR="00295EC6">
        <w:rPr>
          <w:rFonts w:ascii="Roboto Light" w:hAnsi="Roboto Light"/>
          <w:sz w:val="22"/>
          <w:szCs w:val="22"/>
        </w:rPr>
        <w:t>)</w:t>
      </w:r>
      <w:r w:rsidRPr="0058612B">
        <w:rPr>
          <w:rFonts w:ascii="Roboto Light" w:hAnsi="Roboto Light"/>
          <w:sz w:val="22"/>
          <w:szCs w:val="22"/>
        </w:rPr>
        <w:t xml:space="preserve"> weeks after receiving comments on the draft report</w:t>
      </w:r>
      <w:r w:rsidR="00295EC6">
        <w:rPr>
          <w:rFonts w:ascii="Roboto Light" w:hAnsi="Roboto Light"/>
          <w:sz w:val="22"/>
          <w:szCs w:val="22"/>
        </w:rPr>
        <w:t xml:space="preserve"> (V0.2)</w:t>
      </w:r>
      <w:r w:rsidRPr="0058612B">
        <w:rPr>
          <w:rFonts w:ascii="Roboto Light" w:hAnsi="Roboto Light"/>
          <w:sz w:val="22"/>
          <w:szCs w:val="22"/>
        </w:rPr>
        <w:t xml:space="preserve">. The final report should be approximately 25-30 pages, excluding annexes. </w:t>
      </w:r>
    </w:p>
    <w:p w14:paraId="3A479B4C" w14:textId="1D5A17DD" w:rsidR="00D12CE2" w:rsidRPr="0058612B" w:rsidRDefault="00D12CE2" w:rsidP="00957354">
      <w:pPr>
        <w:pStyle w:val="Default"/>
        <w:numPr>
          <w:ilvl w:val="0"/>
          <w:numId w:val="3"/>
        </w:numPr>
        <w:spacing w:after="89" w:line="276" w:lineRule="auto"/>
        <w:jc w:val="both"/>
        <w:rPr>
          <w:rFonts w:ascii="Roboto Light" w:hAnsi="Roboto Light"/>
          <w:sz w:val="22"/>
          <w:szCs w:val="22"/>
        </w:rPr>
      </w:pPr>
      <w:r w:rsidRPr="00295EC6">
        <w:rPr>
          <w:rFonts w:ascii="Roboto Light" w:hAnsi="Roboto Light"/>
          <w:b/>
          <w:bCs/>
          <w:sz w:val="22"/>
          <w:szCs w:val="22"/>
        </w:rPr>
        <w:t>A Synthesis Note</w:t>
      </w:r>
      <w:r w:rsidRPr="0058612B">
        <w:rPr>
          <w:rFonts w:ascii="Roboto Light" w:hAnsi="Roboto Light"/>
          <w:sz w:val="22"/>
          <w:szCs w:val="22"/>
        </w:rPr>
        <w:t xml:space="preserve"> on the Evaluation Report for dissemination focusing on the results, lessons </w:t>
      </w:r>
      <w:r w:rsidR="00A42E96" w:rsidRPr="0058612B">
        <w:rPr>
          <w:rFonts w:ascii="Roboto Light" w:hAnsi="Roboto Light"/>
          <w:sz w:val="22"/>
          <w:szCs w:val="22"/>
        </w:rPr>
        <w:t>learned,</w:t>
      </w:r>
      <w:r w:rsidRPr="0058612B">
        <w:rPr>
          <w:rFonts w:ascii="Roboto Light" w:hAnsi="Roboto Light"/>
          <w:sz w:val="22"/>
          <w:szCs w:val="22"/>
        </w:rPr>
        <w:t xml:space="preserve"> and recommendations</w:t>
      </w:r>
      <w:r w:rsidR="00AE0C9D" w:rsidRPr="0058612B">
        <w:rPr>
          <w:rFonts w:ascii="Roboto Light" w:hAnsi="Roboto Light"/>
          <w:sz w:val="22"/>
          <w:szCs w:val="22"/>
        </w:rPr>
        <w:t xml:space="preserve">. A </w:t>
      </w:r>
      <w:r w:rsidRPr="0058612B">
        <w:rPr>
          <w:rFonts w:ascii="Roboto Light" w:hAnsi="Roboto Light"/>
          <w:sz w:val="22"/>
          <w:szCs w:val="22"/>
        </w:rPr>
        <w:t xml:space="preserve">sample will be provided by </w:t>
      </w:r>
      <w:proofErr w:type="spellStart"/>
      <w:r w:rsidRPr="0058612B">
        <w:rPr>
          <w:rFonts w:ascii="Roboto Light" w:hAnsi="Roboto Light"/>
          <w:sz w:val="22"/>
          <w:szCs w:val="22"/>
        </w:rPr>
        <w:t>IEvD</w:t>
      </w:r>
      <w:proofErr w:type="spellEnd"/>
      <w:r w:rsidRPr="0058612B">
        <w:rPr>
          <w:rFonts w:ascii="Roboto Light" w:hAnsi="Roboto Light"/>
          <w:sz w:val="22"/>
          <w:szCs w:val="22"/>
        </w:rPr>
        <w:t xml:space="preserve">. </w:t>
      </w:r>
    </w:p>
    <w:p w14:paraId="681D912B" w14:textId="6C4EBB7E" w:rsidR="00D12CE2" w:rsidRPr="0058612B" w:rsidRDefault="00D12CE2" w:rsidP="00957354">
      <w:pPr>
        <w:pStyle w:val="Default"/>
        <w:numPr>
          <w:ilvl w:val="0"/>
          <w:numId w:val="3"/>
        </w:numPr>
        <w:spacing w:after="89" w:line="276" w:lineRule="auto"/>
        <w:jc w:val="both"/>
        <w:rPr>
          <w:rFonts w:ascii="Roboto Light" w:hAnsi="Roboto Light"/>
          <w:sz w:val="22"/>
          <w:szCs w:val="22"/>
        </w:rPr>
      </w:pPr>
      <w:r w:rsidRPr="00A84633">
        <w:rPr>
          <w:rFonts w:ascii="Roboto Light" w:hAnsi="Roboto Light"/>
          <w:b/>
          <w:bCs/>
          <w:sz w:val="22"/>
          <w:szCs w:val="22"/>
        </w:rPr>
        <w:t>A concise PowerPoint presentation</w:t>
      </w:r>
      <w:r w:rsidR="00AE0C9D" w:rsidRPr="0058612B">
        <w:rPr>
          <w:rFonts w:ascii="Roboto Light" w:hAnsi="Roboto Light"/>
          <w:sz w:val="22"/>
          <w:szCs w:val="22"/>
        </w:rPr>
        <w:t xml:space="preserve">, </w:t>
      </w:r>
      <w:r w:rsidRPr="0058612B">
        <w:rPr>
          <w:rFonts w:ascii="Roboto Light" w:hAnsi="Roboto Light"/>
          <w:sz w:val="22"/>
          <w:szCs w:val="22"/>
        </w:rPr>
        <w:t xml:space="preserve">reflecting the contents of the Evaluation Report. </w:t>
      </w:r>
    </w:p>
    <w:p w14:paraId="62C89065" w14:textId="77777777" w:rsidR="00D12CE2" w:rsidRPr="0058612B" w:rsidRDefault="00D12CE2" w:rsidP="00957354">
      <w:pPr>
        <w:pStyle w:val="Default"/>
        <w:numPr>
          <w:ilvl w:val="0"/>
          <w:numId w:val="2"/>
        </w:numPr>
        <w:rPr>
          <w:rFonts w:ascii="Roboto Light" w:hAnsi="Roboto Light"/>
          <w:sz w:val="22"/>
          <w:szCs w:val="22"/>
        </w:rPr>
      </w:pPr>
    </w:p>
    <w:p w14:paraId="5E365745" w14:textId="66725D03" w:rsidR="00D12CE2" w:rsidRPr="0058612B" w:rsidRDefault="006742BA" w:rsidP="00957354">
      <w:pPr>
        <w:pStyle w:val="Heading2"/>
        <w:numPr>
          <w:ilvl w:val="0"/>
          <w:numId w:val="4"/>
        </w:numPr>
      </w:pPr>
      <w:bookmarkStart w:id="8" w:name="_Toc203985432"/>
      <w:r w:rsidRPr="0058612B">
        <w:t>Duration of and Payment for the Assignment</w:t>
      </w:r>
      <w:bookmarkEnd w:id="8"/>
    </w:p>
    <w:p w14:paraId="4A37F4E0" w14:textId="1D415B3A" w:rsidR="00D12CE2" w:rsidRPr="00243936" w:rsidRDefault="00D12CE2" w:rsidP="00957354">
      <w:pPr>
        <w:pStyle w:val="Default"/>
        <w:numPr>
          <w:ilvl w:val="1"/>
          <w:numId w:val="4"/>
        </w:numPr>
        <w:spacing w:after="89" w:line="276" w:lineRule="auto"/>
        <w:ind w:left="0" w:firstLine="0"/>
        <w:jc w:val="both"/>
        <w:rPr>
          <w:rFonts w:ascii="Roboto Light" w:hAnsi="Roboto Light"/>
          <w:sz w:val="22"/>
          <w:szCs w:val="22"/>
        </w:rPr>
      </w:pPr>
      <w:r w:rsidRPr="00243936">
        <w:rPr>
          <w:rFonts w:ascii="Roboto Light" w:hAnsi="Roboto Light"/>
          <w:sz w:val="22"/>
          <w:szCs w:val="22"/>
        </w:rPr>
        <w:t xml:space="preserve">The Consultant is expected to commence the assignment tentatively by </w:t>
      </w:r>
      <w:r w:rsidR="007F47D6" w:rsidRPr="00243936">
        <w:rPr>
          <w:rFonts w:ascii="Roboto Light" w:hAnsi="Roboto Light"/>
          <w:sz w:val="22"/>
          <w:szCs w:val="22"/>
        </w:rPr>
        <w:t>September</w:t>
      </w:r>
      <w:r w:rsidRPr="00243936">
        <w:rPr>
          <w:rFonts w:ascii="Roboto Light" w:hAnsi="Roboto Light"/>
          <w:sz w:val="22"/>
          <w:szCs w:val="22"/>
        </w:rPr>
        <w:t xml:space="preserve"> 202</w:t>
      </w:r>
      <w:r w:rsidR="00B952A2" w:rsidRPr="00243936">
        <w:rPr>
          <w:rFonts w:ascii="Roboto Light" w:hAnsi="Roboto Light"/>
          <w:sz w:val="22"/>
          <w:szCs w:val="22"/>
        </w:rPr>
        <w:t>5</w:t>
      </w:r>
      <w:r w:rsidRPr="00243936">
        <w:rPr>
          <w:rFonts w:ascii="Roboto Light" w:hAnsi="Roboto Light"/>
          <w:sz w:val="22"/>
          <w:szCs w:val="22"/>
        </w:rPr>
        <w:t xml:space="preserve">. The distribution of the working days during the period will be flexible. The consultant will be paid a lump sum amount of USD </w:t>
      </w:r>
      <w:r w:rsidR="00EA0E47" w:rsidRPr="00243936">
        <w:rPr>
          <w:rFonts w:ascii="Roboto Light" w:hAnsi="Roboto Light"/>
          <w:sz w:val="22"/>
          <w:szCs w:val="22"/>
        </w:rPr>
        <w:t>50</w:t>
      </w:r>
      <w:r w:rsidRPr="00243936">
        <w:rPr>
          <w:rFonts w:ascii="Roboto Light" w:hAnsi="Roboto Light"/>
          <w:sz w:val="22"/>
          <w:szCs w:val="22"/>
        </w:rPr>
        <w:t>,000</w:t>
      </w:r>
      <w:r w:rsidR="00AE0C9D" w:rsidRPr="00243936">
        <w:rPr>
          <w:rFonts w:ascii="Roboto Light" w:hAnsi="Roboto Light"/>
          <w:sz w:val="22"/>
          <w:szCs w:val="22"/>
        </w:rPr>
        <w:t>.</w:t>
      </w:r>
      <w:r w:rsidR="00B952A2" w:rsidRPr="00243936">
        <w:rPr>
          <w:rFonts w:ascii="Roboto Light" w:hAnsi="Roboto Light"/>
          <w:sz w:val="22"/>
          <w:szCs w:val="22"/>
        </w:rPr>
        <w:t xml:space="preserve"> </w:t>
      </w:r>
      <w:r w:rsidRPr="00243936">
        <w:rPr>
          <w:rFonts w:ascii="Roboto Light" w:hAnsi="Roboto Light"/>
          <w:sz w:val="22"/>
          <w:szCs w:val="22"/>
        </w:rPr>
        <w:t xml:space="preserve">This amount has been established based on the understanding that it includes all the </w:t>
      </w:r>
      <w:r w:rsidR="00D02801" w:rsidRPr="00243936">
        <w:rPr>
          <w:rFonts w:ascii="Roboto Light" w:hAnsi="Roboto Light"/>
          <w:sz w:val="22"/>
          <w:szCs w:val="22"/>
        </w:rPr>
        <w:t>consultants’</w:t>
      </w:r>
      <w:r w:rsidRPr="00243936">
        <w:rPr>
          <w:rFonts w:ascii="Roboto Light" w:hAnsi="Roboto Light"/>
          <w:sz w:val="22"/>
          <w:szCs w:val="22"/>
        </w:rPr>
        <w:t xml:space="preserve"> allowances and benefits, accommodation</w:t>
      </w:r>
      <w:r w:rsidR="00513FCB">
        <w:rPr>
          <w:rFonts w:ascii="Roboto Light" w:hAnsi="Roboto Light"/>
          <w:sz w:val="22"/>
          <w:szCs w:val="22"/>
        </w:rPr>
        <w:t>, health insurance,</w:t>
      </w:r>
      <w:r w:rsidRPr="00243936">
        <w:rPr>
          <w:rFonts w:ascii="Roboto Light" w:hAnsi="Roboto Light"/>
          <w:sz w:val="22"/>
          <w:szCs w:val="22"/>
        </w:rPr>
        <w:t xml:space="preserve"> and </w:t>
      </w:r>
      <w:r w:rsidR="00A456EF" w:rsidRPr="00243936">
        <w:rPr>
          <w:rFonts w:ascii="Roboto Light" w:hAnsi="Roboto Light"/>
          <w:sz w:val="22"/>
          <w:szCs w:val="22"/>
        </w:rPr>
        <w:t>travel</w:t>
      </w:r>
      <w:r w:rsidRPr="00243936">
        <w:rPr>
          <w:rFonts w:ascii="Roboto Light" w:hAnsi="Roboto Light"/>
          <w:sz w:val="22"/>
          <w:szCs w:val="22"/>
        </w:rPr>
        <w:t xml:space="preserve"> costs for t</w:t>
      </w:r>
      <w:r w:rsidR="00D02801" w:rsidRPr="00243936">
        <w:rPr>
          <w:rFonts w:ascii="Roboto Light" w:hAnsi="Roboto Light"/>
          <w:sz w:val="22"/>
          <w:szCs w:val="22"/>
        </w:rPr>
        <w:t>hree</w:t>
      </w:r>
      <w:r w:rsidRPr="00243936">
        <w:rPr>
          <w:rFonts w:ascii="Roboto Light" w:hAnsi="Roboto Light"/>
          <w:sz w:val="22"/>
          <w:szCs w:val="22"/>
        </w:rPr>
        <w:t xml:space="preserve"> </w:t>
      </w:r>
      <w:r w:rsidR="00A456EF" w:rsidRPr="00243936">
        <w:rPr>
          <w:rFonts w:ascii="Roboto Light" w:hAnsi="Roboto Light"/>
          <w:sz w:val="22"/>
          <w:szCs w:val="22"/>
        </w:rPr>
        <w:t xml:space="preserve">field </w:t>
      </w:r>
      <w:r w:rsidRPr="00243936">
        <w:rPr>
          <w:rFonts w:ascii="Roboto Light" w:hAnsi="Roboto Light"/>
          <w:sz w:val="22"/>
          <w:szCs w:val="22"/>
        </w:rPr>
        <w:t xml:space="preserve">missions, as well as any tax obligations and any related cost items that may be imposed on the consultant. Apart from the field missions, the consultant will have the flexibility of working home-based. </w:t>
      </w:r>
    </w:p>
    <w:p w14:paraId="5FBA1176" w14:textId="101CDB6B" w:rsidR="00D12CE2" w:rsidRPr="0058612B" w:rsidRDefault="00B413CA" w:rsidP="00957354">
      <w:pPr>
        <w:pStyle w:val="Default"/>
        <w:numPr>
          <w:ilvl w:val="1"/>
          <w:numId w:val="4"/>
        </w:numPr>
        <w:spacing w:after="89" w:line="276" w:lineRule="auto"/>
        <w:ind w:left="0" w:firstLine="0"/>
        <w:jc w:val="both"/>
        <w:rPr>
          <w:rFonts w:ascii="Roboto Light" w:hAnsi="Roboto Light"/>
          <w:sz w:val="22"/>
          <w:szCs w:val="22"/>
        </w:rPr>
      </w:pPr>
      <w:r w:rsidRPr="0058612B">
        <w:rPr>
          <w:rFonts w:ascii="Roboto Light" w:hAnsi="Roboto Light"/>
          <w:sz w:val="22"/>
          <w:szCs w:val="22"/>
        </w:rPr>
        <w:t>Breakdown</w:t>
      </w:r>
      <w:r w:rsidR="00D12CE2" w:rsidRPr="0058612B">
        <w:rPr>
          <w:rFonts w:ascii="Roboto Light" w:hAnsi="Roboto Light"/>
          <w:sz w:val="22"/>
          <w:szCs w:val="22"/>
        </w:rPr>
        <w:t xml:space="preserve"> of payments: </w:t>
      </w:r>
    </w:p>
    <w:p w14:paraId="003CBEC7" w14:textId="15C4D038" w:rsidR="00D12CE2" w:rsidRPr="00243936" w:rsidRDefault="00D12CE2" w:rsidP="00957354">
      <w:pPr>
        <w:pStyle w:val="Default"/>
        <w:numPr>
          <w:ilvl w:val="0"/>
          <w:numId w:val="5"/>
        </w:numPr>
        <w:spacing w:after="120"/>
        <w:jc w:val="both"/>
        <w:rPr>
          <w:rFonts w:ascii="Roboto Light" w:hAnsi="Roboto Light"/>
          <w:sz w:val="22"/>
          <w:szCs w:val="22"/>
        </w:rPr>
      </w:pPr>
      <w:r w:rsidRPr="00243936">
        <w:rPr>
          <w:rFonts w:ascii="Roboto Light" w:hAnsi="Roboto Light"/>
          <w:sz w:val="22"/>
          <w:szCs w:val="22"/>
        </w:rPr>
        <w:t xml:space="preserve">30% upon submission and acceptance by </w:t>
      </w:r>
      <w:proofErr w:type="spellStart"/>
      <w:r w:rsidRPr="00243936">
        <w:rPr>
          <w:rFonts w:ascii="Roboto Light" w:hAnsi="Roboto Light"/>
          <w:sz w:val="22"/>
          <w:szCs w:val="22"/>
        </w:rPr>
        <w:t>IEvD</w:t>
      </w:r>
      <w:proofErr w:type="spellEnd"/>
      <w:r w:rsidRPr="00243936">
        <w:rPr>
          <w:rFonts w:ascii="Roboto Light" w:hAnsi="Roboto Light"/>
          <w:sz w:val="22"/>
          <w:szCs w:val="22"/>
        </w:rPr>
        <w:t xml:space="preserve"> of deliverable (a) </w:t>
      </w:r>
    </w:p>
    <w:p w14:paraId="356F82C7" w14:textId="45BA8270" w:rsidR="00D12CE2" w:rsidRPr="00243936" w:rsidRDefault="00D12CE2" w:rsidP="00957354">
      <w:pPr>
        <w:pStyle w:val="Default"/>
        <w:numPr>
          <w:ilvl w:val="0"/>
          <w:numId w:val="5"/>
        </w:numPr>
        <w:spacing w:after="120"/>
        <w:jc w:val="both"/>
        <w:rPr>
          <w:rFonts w:ascii="Roboto Light" w:hAnsi="Roboto Light"/>
          <w:sz w:val="22"/>
          <w:szCs w:val="22"/>
        </w:rPr>
      </w:pPr>
      <w:r w:rsidRPr="00243936">
        <w:rPr>
          <w:rFonts w:ascii="Roboto Light" w:hAnsi="Roboto Light"/>
          <w:sz w:val="22"/>
          <w:szCs w:val="22"/>
        </w:rPr>
        <w:t xml:space="preserve">40% upon submission and acceptance by </w:t>
      </w:r>
      <w:proofErr w:type="spellStart"/>
      <w:r w:rsidRPr="00243936">
        <w:rPr>
          <w:rFonts w:ascii="Roboto Light" w:hAnsi="Roboto Light"/>
          <w:sz w:val="22"/>
          <w:szCs w:val="22"/>
        </w:rPr>
        <w:t>IEvD</w:t>
      </w:r>
      <w:proofErr w:type="spellEnd"/>
      <w:r w:rsidRPr="00243936">
        <w:rPr>
          <w:rFonts w:ascii="Roboto Light" w:hAnsi="Roboto Light"/>
          <w:sz w:val="22"/>
          <w:szCs w:val="22"/>
        </w:rPr>
        <w:t xml:space="preserve"> of deliverables (b), (c), and (d). </w:t>
      </w:r>
    </w:p>
    <w:p w14:paraId="11F8E5C3" w14:textId="1F2AE871" w:rsidR="00D12CE2" w:rsidRPr="00243936" w:rsidRDefault="00D12CE2" w:rsidP="00957354">
      <w:pPr>
        <w:pStyle w:val="Default"/>
        <w:numPr>
          <w:ilvl w:val="0"/>
          <w:numId w:val="5"/>
        </w:numPr>
        <w:spacing w:after="120"/>
        <w:jc w:val="both"/>
        <w:rPr>
          <w:rFonts w:ascii="Roboto Light" w:hAnsi="Roboto Light"/>
          <w:sz w:val="22"/>
          <w:szCs w:val="22"/>
        </w:rPr>
      </w:pPr>
      <w:r w:rsidRPr="00243936">
        <w:rPr>
          <w:rFonts w:ascii="Roboto Light" w:hAnsi="Roboto Light"/>
          <w:sz w:val="22"/>
          <w:szCs w:val="22"/>
        </w:rPr>
        <w:t xml:space="preserve">30% upon submission and acceptance by </w:t>
      </w:r>
      <w:proofErr w:type="spellStart"/>
      <w:r w:rsidRPr="00243936">
        <w:rPr>
          <w:rFonts w:ascii="Roboto Light" w:hAnsi="Roboto Light"/>
          <w:sz w:val="22"/>
          <w:szCs w:val="22"/>
        </w:rPr>
        <w:t>IEvD</w:t>
      </w:r>
      <w:proofErr w:type="spellEnd"/>
      <w:r w:rsidRPr="00243936">
        <w:rPr>
          <w:rFonts w:ascii="Roboto Light" w:hAnsi="Roboto Light"/>
          <w:sz w:val="22"/>
          <w:szCs w:val="22"/>
        </w:rPr>
        <w:t xml:space="preserve"> of deliverables (e), (f), and (g). </w:t>
      </w:r>
    </w:p>
    <w:p w14:paraId="4FCD3007" w14:textId="77777777" w:rsidR="00F92043" w:rsidRPr="000A52DB" w:rsidRDefault="00F92043" w:rsidP="00957354">
      <w:pPr>
        <w:pStyle w:val="Heading2"/>
        <w:numPr>
          <w:ilvl w:val="0"/>
          <w:numId w:val="4"/>
        </w:numPr>
        <w:rPr>
          <w:b w:val="0"/>
          <w:bCs w:val="0"/>
          <w:smallCaps w:val="0"/>
        </w:rPr>
      </w:pPr>
      <w:r w:rsidRPr="000A52DB">
        <w:t xml:space="preserve">Expression of Interest </w:t>
      </w:r>
    </w:p>
    <w:p w14:paraId="0DB853C4" w14:textId="77777777" w:rsidR="00F92043" w:rsidRPr="00F30C5D" w:rsidRDefault="00F92043" w:rsidP="00957354">
      <w:pPr>
        <w:pStyle w:val="Default"/>
        <w:numPr>
          <w:ilvl w:val="1"/>
          <w:numId w:val="4"/>
        </w:numPr>
        <w:spacing w:after="89" w:line="276" w:lineRule="auto"/>
        <w:ind w:left="0" w:firstLine="0"/>
        <w:jc w:val="both"/>
        <w:rPr>
          <w:rFonts w:ascii="Roboto Light" w:hAnsi="Roboto Light" w:cstheme="majorBidi"/>
          <w:sz w:val="22"/>
          <w:szCs w:val="22"/>
        </w:rPr>
      </w:pPr>
      <w:bookmarkStart w:id="9" w:name="_Hlk205477661"/>
      <w:proofErr w:type="spellStart"/>
      <w:r w:rsidRPr="00F30C5D">
        <w:rPr>
          <w:rFonts w:ascii="Roboto Light" w:hAnsi="Roboto Light" w:cstheme="majorBidi"/>
          <w:sz w:val="22"/>
          <w:szCs w:val="22"/>
        </w:rPr>
        <w:t>IEvD</w:t>
      </w:r>
      <w:proofErr w:type="spellEnd"/>
      <w:r w:rsidRPr="00F30C5D">
        <w:rPr>
          <w:rFonts w:ascii="Roboto Light" w:hAnsi="Roboto Light" w:cstheme="majorBidi"/>
          <w:sz w:val="22"/>
          <w:szCs w:val="22"/>
        </w:rPr>
        <w:t xml:space="preserve"> invites eligible consultants to express their interest in providing the services above. Interested consultants must provide the following: </w:t>
      </w:r>
    </w:p>
    <w:p w14:paraId="73722F43" w14:textId="77777777" w:rsidR="00F92043" w:rsidRPr="00F30C5D" w:rsidRDefault="00F92043" w:rsidP="00957354">
      <w:pPr>
        <w:pStyle w:val="ListParagraph"/>
        <w:numPr>
          <w:ilvl w:val="1"/>
          <w:numId w:val="8"/>
        </w:numPr>
        <w:spacing w:after="120" w:line="240" w:lineRule="auto"/>
        <w:contextualSpacing w:val="0"/>
        <w:jc w:val="both"/>
        <w:rPr>
          <w:rFonts w:ascii="Roboto Light" w:hAnsi="Roboto Light" w:cstheme="majorBidi"/>
          <w:sz w:val="22"/>
          <w:szCs w:val="22"/>
        </w:rPr>
      </w:pPr>
      <w:r w:rsidRPr="00F30C5D">
        <w:rPr>
          <w:rFonts w:ascii="Roboto Light" w:hAnsi="Roboto Light" w:cstheme="majorBidi"/>
          <w:sz w:val="22"/>
          <w:szCs w:val="22"/>
        </w:rPr>
        <w:t xml:space="preserve">Information on availability for </w:t>
      </w:r>
      <w:r>
        <w:rPr>
          <w:rFonts w:ascii="Roboto Light" w:hAnsi="Roboto Light" w:cstheme="majorBidi"/>
          <w:sz w:val="22"/>
          <w:szCs w:val="22"/>
        </w:rPr>
        <w:t xml:space="preserve">providing the requested </w:t>
      </w:r>
      <w:r w:rsidRPr="00F30C5D">
        <w:rPr>
          <w:rFonts w:ascii="Roboto Light" w:hAnsi="Roboto Light" w:cstheme="majorBidi"/>
          <w:sz w:val="22"/>
          <w:szCs w:val="22"/>
        </w:rPr>
        <w:t xml:space="preserve">services. </w:t>
      </w:r>
    </w:p>
    <w:p w14:paraId="7E8C0BDB" w14:textId="77777777" w:rsidR="00F92043" w:rsidRPr="00F30C5D" w:rsidRDefault="00F92043" w:rsidP="00957354">
      <w:pPr>
        <w:pStyle w:val="ListParagraph"/>
        <w:numPr>
          <w:ilvl w:val="1"/>
          <w:numId w:val="8"/>
        </w:numPr>
        <w:spacing w:after="120" w:line="240" w:lineRule="auto"/>
        <w:contextualSpacing w:val="0"/>
        <w:jc w:val="both"/>
        <w:rPr>
          <w:rFonts w:ascii="Roboto Light" w:hAnsi="Roboto Light" w:cstheme="majorBidi"/>
          <w:sz w:val="22"/>
          <w:szCs w:val="22"/>
        </w:rPr>
      </w:pPr>
      <w:r w:rsidRPr="00F30C5D">
        <w:rPr>
          <w:rFonts w:ascii="Roboto Light" w:hAnsi="Roboto Light" w:cstheme="majorBidi"/>
          <w:sz w:val="22"/>
          <w:szCs w:val="22"/>
        </w:rPr>
        <w:t xml:space="preserve">Curriculum Vitae, including relevant publications and assignments; and </w:t>
      </w:r>
    </w:p>
    <w:p w14:paraId="5DAFCDC3" w14:textId="77777777" w:rsidR="00F92043" w:rsidRPr="00F30C5D" w:rsidRDefault="00F92043" w:rsidP="00957354">
      <w:pPr>
        <w:pStyle w:val="ListParagraph"/>
        <w:numPr>
          <w:ilvl w:val="1"/>
          <w:numId w:val="8"/>
        </w:numPr>
        <w:spacing w:after="120" w:line="240" w:lineRule="auto"/>
        <w:contextualSpacing w:val="0"/>
        <w:jc w:val="both"/>
        <w:rPr>
          <w:rFonts w:ascii="Roboto Light" w:hAnsi="Roboto Light" w:cstheme="majorBidi"/>
          <w:sz w:val="22"/>
          <w:szCs w:val="22"/>
        </w:rPr>
      </w:pPr>
      <w:r w:rsidRPr="00F30C5D">
        <w:rPr>
          <w:rFonts w:ascii="Roboto Light" w:hAnsi="Roboto Light" w:cstheme="majorBidi"/>
          <w:sz w:val="22"/>
          <w:szCs w:val="22"/>
        </w:rPr>
        <w:t>Sample of similar works, certificates of assignments, and related references.</w:t>
      </w:r>
    </w:p>
    <w:p w14:paraId="131B9F61" w14:textId="77777777" w:rsidR="00367D11" w:rsidRPr="000A52DB" w:rsidRDefault="00367D11" w:rsidP="00957354">
      <w:pPr>
        <w:pStyle w:val="Default"/>
        <w:numPr>
          <w:ilvl w:val="1"/>
          <w:numId w:val="4"/>
        </w:numPr>
        <w:spacing w:after="89" w:line="276" w:lineRule="auto"/>
        <w:ind w:left="0" w:firstLine="0"/>
        <w:jc w:val="both"/>
        <w:rPr>
          <w:rFonts w:ascii="Roboto Light" w:hAnsi="Roboto Light" w:cstheme="majorBidi"/>
          <w:sz w:val="22"/>
          <w:szCs w:val="22"/>
        </w:rPr>
      </w:pPr>
      <w:r w:rsidRPr="00F30C5D">
        <w:rPr>
          <w:rFonts w:ascii="Roboto Light" w:hAnsi="Roboto Light" w:cstheme="majorBidi"/>
          <w:sz w:val="22"/>
          <w:szCs w:val="22"/>
        </w:rPr>
        <w:t xml:space="preserve">Interested candidates are requested to submit their Expression of Interest (EOI) through </w:t>
      </w:r>
      <w:r>
        <w:rPr>
          <w:rFonts w:ascii="Roboto Light" w:hAnsi="Roboto Light" w:cstheme="majorBidi"/>
          <w:sz w:val="22"/>
          <w:szCs w:val="22"/>
        </w:rPr>
        <w:t xml:space="preserve">the </w:t>
      </w:r>
      <w:r w:rsidRPr="00F30C5D">
        <w:rPr>
          <w:rFonts w:ascii="Roboto Light" w:hAnsi="Roboto Light" w:cstheme="majorBidi"/>
          <w:sz w:val="22"/>
          <w:szCs w:val="22"/>
        </w:rPr>
        <w:t xml:space="preserve">IsDB Procurement System </w:t>
      </w:r>
      <w:r w:rsidRPr="0024643C">
        <w:rPr>
          <w:rFonts w:ascii="Roboto Light" w:hAnsi="Roboto Light" w:cstheme="majorBidi"/>
          <w:sz w:val="22"/>
          <w:szCs w:val="22"/>
        </w:rPr>
        <w:t>using</w:t>
      </w:r>
      <w:r>
        <w:rPr>
          <w:rFonts w:ascii="Roboto Light" w:hAnsi="Roboto Light" w:cstheme="majorBidi"/>
          <w:sz w:val="22"/>
          <w:szCs w:val="22"/>
        </w:rPr>
        <w:t xml:space="preserve"> the </w:t>
      </w:r>
      <w:r w:rsidRPr="00F30C5D">
        <w:rPr>
          <w:rFonts w:ascii="Roboto Light" w:hAnsi="Roboto Light" w:cstheme="majorBidi"/>
          <w:sz w:val="22"/>
          <w:szCs w:val="22"/>
        </w:rPr>
        <w:t xml:space="preserve">email </w:t>
      </w:r>
      <w:r>
        <w:rPr>
          <w:rFonts w:ascii="Roboto Light" w:hAnsi="Roboto Light" w:cstheme="majorBidi"/>
          <w:sz w:val="22"/>
          <w:szCs w:val="22"/>
        </w:rPr>
        <w:t xml:space="preserve">provided in the consultancy announcement. </w:t>
      </w:r>
      <w:bookmarkEnd w:id="9"/>
      <w:r>
        <w:rPr>
          <w:rFonts w:ascii="Roboto Light" w:hAnsi="Roboto Light" w:cstheme="majorBidi"/>
          <w:sz w:val="22"/>
          <w:szCs w:val="22"/>
        </w:rPr>
        <w:t>T</w:t>
      </w:r>
      <w:r w:rsidRPr="00F30C5D">
        <w:rPr>
          <w:rFonts w:ascii="Roboto Light" w:hAnsi="Roboto Light" w:cstheme="majorBidi"/>
          <w:sz w:val="22"/>
          <w:szCs w:val="22"/>
        </w:rPr>
        <w:t>emplate and instructions for submitting the EOI will be provided in the invitation for Expression of Interest (</w:t>
      </w:r>
      <w:r>
        <w:rPr>
          <w:rFonts w:ascii="Roboto Light" w:hAnsi="Roboto Light" w:cstheme="majorBidi"/>
          <w:sz w:val="22"/>
          <w:szCs w:val="22"/>
        </w:rPr>
        <w:t>EOI</w:t>
      </w:r>
      <w:r w:rsidRPr="00F30C5D">
        <w:rPr>
          <w:rFonts w:ascii="Roboto Light" w:hAnsi="Roboto Light" w:cstheme="majorBidi"/>
          <w:sz w:val="22"/>
          <w:szCs w:val="22"/>
        </w:rPr>
        <w:t>).</w:t>
      </w:r>
    </w:p>
    <w:p w14:paraId="4DC58758" w14:textId="77777777" w:rsidR="00F92043" w:rsidRPr="0058612B" w:rsidRDefault="00F92043" w:rsidP="00F92043">
      <w:pPr>
        <w:pStyle w:val="Default"/>
        <w:jc w:val="both"/>
        <w:rPr>
          <w:rFonts w:ascii="Roboto Light" w:hAnsi="Roboto Light"/>
          <w:sz w:val="22"/>
          <w:szCs w:val="22"/>
        </w:rPr>
      </w:pPr>
    </w:p>
    <w:p w14:paraId="3F4A5528" w14:textId="70100B43" w:rsidR="00627709" w:rsidRPr="0058612B" w:rsidRDefault="00627709" w:rsidP="00957354">
      <w:pPr>
        <w:pStyle w:val="Heading2"/>
        <w:numPr>
          <w:ilvl w:val="0"/>
          <w:numId w:val="4"/>
        </w:numPr>
      </w:pPr>
      <w:r w:rsidRPr="00C12DF0">
        <w:t xml:space="preserve"> </w:t>
      </w:r>
      <w:bookmarkStart w:id="10" w:name="_Toc203985433"/>
      <w:r w:rsidR="006742BA" w:rsidRPr="0058612B">
        <w:t>Qualification</w:t>
      </w:r>
      <w:bookmarkEnd w:id="10"/>
      <w:r w:rsidR="006742BA" w:rsidRPr="0058612B">
        <w:t xml:space="preserve"> </w:t>
      </w:r>
    </w:p>
    <w:p w14:paraId="71A56D9A" w14:textId="02111B30" w:rsidR="007C5ED0" w:rsidRPr="00450913" w:rsidRDefault="007C5ED0" w:rsidP="00957354">
      <w:pPr>
        <w:pStyle w:val="Default"/>
        <w:numPr>
          <w:ilvl w:val="1"/>
          <w:numId w:val="4"/>
        </w:numPr>
        <w:spacing w:after="89" w:line="276" w:lineRule="auto"/>
        <w:ind w:left="0" w:firstLine="0"/>
        <w:jc w:val="both"/>
        <w:rPr>
          <w:sz w:val="22"/>
          <w:szCs w:val="22"/>
        </w:rPr>
      </w:pPr>
      <w:bookmarkStart w:id="11" w:name="_Toc203985434"/>
      <w:r w:rsidRPr="00450913">
        <w:rPr>
          <w:rFonts w:ascii="Roboto Light" w:hAnsi="Roboto Light"/>
          <w:sz w:val="22"/>
          <w:szCs w:val="22"/>
        </w:rPr>
        <w:t xml:space="preserve">The required qualifications for the consultant include: (i) a relevant academic background in health, public policy, development economics, or other fields related to international development, with a minimum of a Master’s degree; (ii) at least ten years of experience in the design, implementation, and evaluation of development projects or programs, preferably in the </w:t>
      </w:r>
      <w:r w:rsidRPr="00450913">
        <w:rPr>
          <w:rFonts w:ascii="Roboto Light" w:hAnsi="Roboto Light"/>
          <w:sz w:val="22"/>
          <w:szCs w:val="22"/>
        </w:rPr>
        <w:lastRenderedPageBreak/>
        <w:t>health and social sectors; (iii) demonstrated expertise in evaluation methodologies, including familiarity with OECD-DAC criteria, theory-based and mixed-methods approaches, and experience conducting evaluations for multilateral development institutions; (iv) proven ability to synthesize findings from diverse sources</w:t>
      </w:r>
      <w:r w:rsidR="00D37B71">
        <w:rPr>
          <w:rFonts w:ascii="Roboto Light" w:hAnsi="Roboto Light"/>
          <w:sz w:val="22"/>
          <w:szCs w:val="22"/>
        </w:rPr>
        <w:t xml:space="preserve">, </w:t>
      </w:r>
      <w:r w:rsidRPr="00450913">
        <w:rPr>
          <w:rFonts w:ascii="Roboto Light" w:hAnsi="Roboto Light"/>
          <w:sz w:val="22"/>
          <w:szCs w:val="22"/>
        </w:rPr>
        <w:t>including project documents, previous evaluations, and stakeholder consultations</w:t>
      </w:r>
      <w:r w:rsidR="00D37B71">
        <w:rPr>
          <w:rFonts w:ascii="Roboto Light" w:hAnsi="Roboto Light"/>
          <w:sz w:val="22"/>
          <w:szCs w:val="22"/>
        </w:rPr>
        <w:t xml:space="preserve">, </w:t>
      </w:r>
      <w:r w:rsidRPr="00450913">
        <w:rPr>
          <w:rFonts w:ascii="Roboto Light" w:hAnsi="Roboto Light"/>
          <w:sz w:val="22"/>
          <w:szCs w:val="22"/>
        </w:rPr>
        <w:t>and to translate evidence into actionable insights; (v) strong analytical, writing, and communication skills in English, with a track record of authoring high-quality reports and knowledge products for technical and policy audiences; and (vi) proficiency in standard computer applications, including word processing, data analysis, and presentation tools (e.g., Microsoft Office Suite), with familiarity in using data collection platforms and qualitative analysis software considered an asset.</w:t>
      </w:r>
    </w:p>
    <w:p w14:paraId="72860FCA" w14:textId="182F8246" w:rsidR="001815C2" w:rsidRPr="0058612B" w:rsidRDefault="006742BA" w:rsidP="00957354">
      <w:pPr>
        <w:pStyle w:val="Heading2"/>
        <w:numPr>
          <w:ilvl w:val="0"/>
          <w:numId w:val="4"/>
        </w:numPr>
      </w:pPr>
      <w:r w:rsidRPr="0058612B">
        <w:t>Evaluation Process</w:t>
      </w:r>
      <w:bookmarkEnd w:id="11"/>
    </w:p>
    <w:p w14:paraId="4897895E" w14:textId="5D5E7C74" w:rsidR="00FE6514" w:rsidRDefault="001815C2" w:rsidP="00957354">
      <w:pPr>
        <w:pStyle w:val="Default"/>
        <w:numPr>
          <w:ilvl w:val="1"/>
          <w:numId w:val="4"/>
        </w:numPr>
        <w:spacing w:after="89" w:line="276" w:lineRule="auto"/>
        <w:ind w:left="0" w:firstLine="0"/>
        <w:jc w:val="both"/>
        <w:rPr>
          <w:rFonts w:ascii="Roboto Light" w:hAnsi="Roboto Light"/>
          <w:sz w:val="22"/>
          <w:szCs w:val="22"/>
        </w:rPr>
      </w:pPr>
      <w:r w:rsidRPr="0058612B">
        <w:rPr>
          <w:rFonts w:ascii="Roboto Light" w:hAnsi="Roboto Light"/>
          <w:sz w:val="22"/>
          <w:szCs w:val="22"/>
        </w:rPr>
        <w:t>After receiving the Expressions of Interest (EOIs), Curriculum Vitae (CVs), and supporting documents, a Consultant Selection Panel (CSP) appointed by the IsDB will evaluate all submissions. The panel will assess candidates based on their educational qualifications, relevant work experience, research orientation, exposure to IsDB and/or peer developmental institutions, and language proficiency. A shortlist of qualified candidates will be created following IsDB procurement procedures. The following table will be used as a guide for the evaluation of the submitted Expression of Interest.</w:t>
      </w:r>
    </w:p>
    <w:p w14:paraId="4457E76F" w14:textId="77777777" w:rsidR="00450913" w:rsidRDefault="00450913" w:rsidP="001815C2">
      <w:pPr>
        <w:tabs>
          <w:tab w:val="left" w:pos="360"/>
        </w:tabs>
        <w:autoSpaceDE w:val="0"/>
        <w:autoSpaceDN w:val="0"/>
        <w:adjustRightInd w:val="0"/>
        <w:spacing w:before="120" w:after="120" w:line="240" w:lineRule="auto"/>
        <w:contextualSpacing/>
        <w:jc w:val="center"/>
        <w:rPr>
          <w:rFonts w:ascii="Roboto Light" w:eastAsia="Calibri" w:hAnsi="Roboto Light" w:cs="Times New Roman"/>
          <w:b/>
          <w:bCs/>
          <w:sz w:val="22"/>
          <w:szCs w:val="22"/>
        </w:rPr>
      </w:pPr>
    </w:p>
    <w:p w14:paraId="787DAA45" w14:textId="768AC296" w:rsidR="001815C2" w:rsidRPr="0058612B" w:rsidRDefault="001815C2" w:rsidP="001815C2">
      <w:pPr>
        <w:tabs>
          <w:tab w:val="left" w:pos="360"/>
        </w:tabs>
        <w:autoSpaceDE w:val="0"/>
        <w:autoSpaceDN w:val="0"/>
        <w:adjustRightInd w:val="0"/>
        <w:spacing w:before="120" w:after="120" w:line="240" w:lineRule="auto"/>
        <w:contextualSpacing/>
        <w:jc w:val="center"/>
        <w:rPr>
          <w:rFonts w:ascii="Roboto Light" w:eastAsia="Calibri" w:hAnsi="Roboto Light" w:cs="Times New Roman"/>
          <w:b/>
          <w:bCs/>
          <w:sz w:val="22"/>
          <w:szCs w:val="22"/>
        </w:rPr>
      </w:pPr>
      <w:r w:rsidRPr="0058612B">
        <w:rPr>
          <w:rFonts w:ascii="Roboto Light" w:eastAsia="Calibri" w:hAnsi="Roboto Light" w:cs="Times New Roman"/>
          <w:b/>
          <w:bCs/>
          <w:sz w:val="22"/>
          <w:szCs w:val="22"/>
        </w:rPr>
        <w:t xml:space="preserve">Table </w:t>
      </w:r>
      <w:r w:rsidR="00C12DF0">
        <w:rPr>
          <w:rFonts w:ascii="Roboto Light" w:eastAsia="Calibri" w:hAnsi="Roboto Light" w:cs="Times New Roman"/>
          <w:b/>
          <w:bCs/>
          <w:sz w:val="22"/>
          <w:szCs w:val="22"/>
        </w:rPr>
        <w:t>3</w:t>
      </w:r>
      <w:r w:rsidRPr="0058612B">
        <w:rPr>
          <w:rFonts w:ascii="Roboto Light" w:eastAsia="Calibri" w:hAnsi="Roboto Light" w:cs="Times New Roman"/>
          <w:b/>
          <w:bCs/>
          <w:sz w:val="22"/>
          <w:szCs w:val="22"/>
        </w:rPr>
        <w:t>: Criteria for the Technical Evaluation of EOIs</w:t>
      </w:r>
    </w:p>
    <w:tbl>
      <w:tblPr>
        <w:tblStyle w:val="TableGrid"/>
        <w:tblW w:w="9359" w:type="dxa"/>
        <w:shd w:val="clear" w:color="auto" w:fill="FFFFFF" w:themeFill="background1"/>
        <w:tblLook w:val="04A0" w:firstRow="1" w:lastRow="0" w:firstColumn="1" w:lastColumn="0" w:noHBand="0" w:noVBand="1"/>
      </w:tblPr>
      <w:tblGrid>
        <w:gridCol w:w="6385"/>
        <w:gridCol w:w="2974"/>
      </w:tblGrid>
      <w:tr w:rsidR="001815C2" w:rsidRPr="0058612B" w14:paraId="16F07F6B" w14:textId="77777777" w:rsidTr="00802736">
        <w:trPr>
          <w:trHeight w:val="260"/>
        </w:trPr>
        <w:tc>
          <w:tcPr>
            <w:tcW w:w="6385" w:type="dxa"/>
            <w:shd w:val="clear" w:color="auto" w:fill="FFFFFF" w:themeFill="background1"/>
            <w:hideMark/>
          </w:tcPr>
          <w:p w14:paraId="07FA1214" w14:textId="77777777" w:rsidR="001815C2" w:rsidRPr="0058612B" w:rsidRDefault="001815C2" w:rsidP="00802736">
            <w:pPr>
              <w:contextualSpacing/>
              <w:jc w:val="center"/>
              <w:rPr>
                <w:rFonts w:ascii="Roboto Light" w:eastAsia="Calibri" w:hAnsi="Roboto Light" w:cs="Times New Roman"/>
                <w:b/>
                <w:bCs/>
                <w:sz w:val="22"/>
                <w:szCs w:val="22"/>
              </w:rPr>
            </w:pPr>
            <w:r w:rsidRPr="0058612B">
              <w:rPr>
                <w:rFonts w:ascii="Roboto Light" w:eastAsia="Calibri" w:hAnsi="Roboto Light" w:cs="Times New Roman"/>
                <w:b/>
                <w:bCs/>
                <w:sz w:val="22"/>
                <w:szCs w:val="22"/>
              </w:rPr>
              <w:t>Criteria</w:t>
            </w:r>
          </w:p>
        </w:tc>
        <w:tc>
          <w:tcPr>
            <w:tcW w:w="2974" w:type="dxa"/>
            <w:shd w:val="clear" w:color="auto" w:fill="FFFFFF" w:themeFill="background1"/>
            <w:hideMark/>
          </w:tcPr>
          <w:p w14:paraId="1F944A3B" w14:textId="77777777" w:rsidR="001815C2" w:rsidRPr="0058612B" w:rsidRDefault="001815C2" w:rsidP="00802736">
            <w:pPr>
              <w:contextualSpacing/>
              <w:jc w:val="center"/>
              <w:rPr>
                <w:rFonts w:ascii="Roboto Light" w:eastAsia="Calibri" w:hAnsi="Roboto Light" w:cs="Times New Roman"/>
                <w:b/>
                <w:bCs/>
                <w:sz w:val="22"/>
                <w:szCs w:val="22"/>
              </w:rPr>
            </w:pPr>
            <w:r w:rsidRPr="0058612B">
              <w:rPr>
                <w:rFonts w:ascii="Roboto Light" w:eastAsia="Calibri" w:hAnsi="Roboto Light" w:cs="Times New Roman"/>
                <w:b/>
                <w:bCs/>
                <w:sz w:val="22"/>
                <w:szCs w:val="22"/>
              </w:rPr>
              <w:t>Total Points (Out of 100)</w:t>
            </w:r>
          </w:p>
        </w:tc>
      </w:tr>
      <w:tr w:rsidR="001815C2" w:rsidRPr="0058612B" w14:paraId="7CA1C63B" w14:textId="77777777" w:rsidTr="00802736">
        <w:trPr>
          <w:trHeight w:val="260"/>
        </w:trPr>
        <w:tc>
          <w:tcPr>
            <w:tcW w:w="6385" w:type="dxa"/>
            <w:shd w:val="clear" w:color="auto" w:fill="FFFFFF" w:themeFill="background1"/>
          </w:tcPr>
          <w:p w14:paraId="2354F860" w14:textId="375651EF" w:rsidR="001815C2" w:rsidRPr="0058612B" w:rsidRDefault="001815C2" w:rsidP="00802736">
            <w:pPr>
              <w:spacing w:line="276" w:lineRule="auto"/>
              <w:contextualSpacing/>
              <w:jc w:val="both"/>
              <w:rPr>
                <w:rFonts w:ascii="Roboto Light" w:eastAsia="Calibri" w:hAnsi="Roboto Light" w:cs="Times New Roman"/>
                <w:sz w:val="22"/>
                <w:szCs w:val="22"/>
              </w:rPr>
            </w:pPr>
            <w:r w:rsidRPr="0058612B">
              <w:rPr>
                <w:rFonts w:ascii="Roboto Light" w:eastAsia="Calibri" w:hAnsi="Roboto Light" w:cs="Times New Roman"/>
                <w:sz w:val="22"/>
                <w:szCs w:val="22"/>
              </w:rPr>
              <w:t>Consultant Qualification: Educational Degrees (Relevant Master 10; Relevant PhD 15)</w:t>
            </w:r>
          </w:p>
        </w:tc>
        <w:tc>
          <w:tcPr>
            <w:tcW w:w="2974" w:type="dxa"/>
            <w:shd w:val="clear" w:color="auto" w:fill="FFFFFF" w:themeFill="background1"/>
          </w:tcPr>
          <w:p w14:paraId="0DC93FD0" w14:textId="77777777" w:rsidR="001815C2" w:rsidRPr="0058612B" w:rsidRDefault="001815C2" w:rsidP="00802736">
            <w:pPr>
              <w:spacing w:line="276" w:lineRule="auto"/>
              <w:contextualSpacing/>
              <w:jc w:val="center"/>
              <w:rPr>
                <w:rFonts w:ascii="Roboto Light" w:eastAsia="Calibri" w:hAnsi="Roboto Light" w:cs="Times New Roman"/>
                <w:sz w:val="22"/>
                <w:szCs w:val="22"/>
              </w:rPr>
            </w:pPr>
            <w:r w:rsidRPr="0058612B">
              <w:rPr>
                <w:rFonts w:ascii="Roboto Light" w:eastAsia="Calibri" w:hAnsi="Roboto Light" w:cs="Times New Roman"/>
                <w:sz w:val="22"/>
                <w:szCs w:val="22"/>
              </w:rPr>
              <w:t>15</w:t>
            </w:r>
          </w:p>
        </w:tc>
      </w:tr>
      <w:tr w:rsidR="001815C2" w:rsidRPr="0058612B" w14:paraId="43E320E4" w14:textId="77777777" w:rsidTr="00802736">
        <w:trPr>
          <w:trHeight w:val="260"/>
        </w:trPr>
        <w:tc>
          <w:tcPr>
            <w:tcW w:w="6385" w:type="dxa"/>
            <w:shd w:val="clear" w:color="auto" w:fill="FFFFFF" w:themeFill="background1"/>
          </w:tcPr>
          <w:p w14:paraId="653EC40F" w14:textId="06377098" w:rsidR="001815C2" w:rsidRPr="0058612B" w:rsidRDefault="001815C2" w:rsidP="00802736">
            <w:pPr>
              <w:spacing w:line="276" w:lineRule="auto"/>
              <w:contextualSpacing/>
              <w:jc w:val="both"/>
              <w:rPr>
                <w:rFonts w:ascii="Roboto Light" w:eastAsia="Calibri" w:hAnsi="Roboto Light" w:cs="Times New Roman"/>
                <w:sz w:val="22"/>
                <w:szCs w:val="22"/>
              </w:rPr>
            </w:pPr>
            <w:r w:rsidRPr="0058612B">
              <w:rPr>
                <w:rFonts w:ascii="Roboto Light" w:eastAsia="Calibri" w:hAnsi="Roboto Light" w:cs="Times New Roman"/>
                <w:sz w:val="22"/>
                <w:szCs w:val="22"/>
              </w:rPr>
              <w:t xml:space="preserve">Relevant Specific </w:t>
            </w:r>
            <w:r w:rsidRPr="00894B42">
              <w:rPr>
                <w:rFonts w:ascii="Roboto Light" w:eastAsia="Calibri" w:hAnsi="Roboto Light" w:cs="Times New Roman"/>
                <w:sz w:val="22"/>
                <w:szCs w:val="22"/>
              </w:rPr>
              <w:t>Experience (</w:t>
            </w:r>
            <w:r w:rsidR="003949DD" w:rsidRPr="00894B42">
              <w:rPr>
                <w:rFonts w:ascii="Roboto Light" w:eastAsia="Calibri" w:hAnsi="Roboto Light" w:cs="Times New Roman"/>
                <w:sz w:val="22"/>
                <w:szCs w:val="22"/>
              </w:rPr>
              <w:t>4</w:t>
            </w:r>
            <w:r w:rsidRPr="00894B42">
              <w:rPr>
                <w:rFonts w:ascii="Roboto Light" w:eastAsia="Calibri" w:hAnsi="Roboto Light" w:cs="Times New Roman"/>
                <w:sz w:val="22"/>
                <w:szCs w:val="22"/>
              </w:rPr>
              <w:t xml:space="preserve"> points for each year of relevant experience): At least </w:t>
            </w:r>
            <w:r w:rsidR="00C26BD8">
              <w:rPr>
                <w:rFonts w:ascii="Roboto Light" w:eastAsia="Calibri" w:hAnsi="Roboto Light" w:cs="Times New Roman"/>
                <w:sz w:val="22"/>
                <w:szCs w:val="22"/>
              </w:rPr>
              <w:t>8</w:t>
            </w:r>
            <w:r w:rsidRPr="00894B42">
              <w:rPr>
                <w:rFonts w:ascii="Roboto Light" w:eastAsia="Calibri" w:hAnsi="Roboto Light" w:cs="Times New Roman"/>
                <w:sz w:val="22"/>
                <w:szCs w:val="22"/>
              </w:rPr>
              <w:t xml:space="preserve"> years of </w:t>
            </w:r>
            <w:r w:rsidR="00F169AA" w:rsidRPr="00894B42">
              <w:rPr>
                <w:rFonts w:ascii="Roboto Light" w:eastAsia="Calibri" w:hAnsi="Roboto Light" w:cs="Times New Roman"/>
                <w:sz w:val="22"/>
                <w:szCs w:val="22"/>
              </w:rPr>
              <w:t>experience in</w:t>
            </w:r>
            <w:r w:rsidRPr="00894B42">
              <w:rPr>
                <w:rFonts w:ascii="Roboto Light" w:eastAsia="Calibri" w:hAnsi="Roboto Light" w:cs="Times New Roman"/>
                <w:sz w:val="22"/>
                <w:szCs w:val="22"/>
              </w:rPr>
              <w:t xml:space="preserve"> </w:t>
            </w:r>
            <w:r w:rsidR="00F169AA" w:rsidRPr="00894B42">
              <w:rPr>
                <w:rFonts w:ascii="Roboto Light" w:eastAsia="Calibri" w:hAnsi="Roboto Light" w:cs="Times New Roman"/>
                <w:sz w:val="22"/>
                <w:szCs w:val="22"/>
              </w:rPr>
              <w:t>health</w:t>
            </w:r>
            <w:r w:rsidRPr="00894B42">
              <w:rPr>
                <w:rFonts w:ascii="Roboto Light" w:eastAsia="Calibri" w:hAnsi="Roboto Light" w:cs="Times New Roman"/>
                <w:sz w:val="22"/>
                <w:szCs w:val="22"/>
              </w:rPr>
              <w:t xml:space="preserve"> and evaluation standards, methods, and terminology</w:t>
            </w:r>
          </w:p>
        </w:tc>
        <w:tc>
          <w:tcPr>
            <w:tcW w:w="2974" w:type="dxa"/>
            <w:shd w:val="clear" w:color="auto" w:fill="FFFFFF" w:themeFill="background1"/>
          </w:tcPr>
          <w:p w14:paraId="33F472C1" w14:textId="77777777" w:rsidR="001815C2" w:rsidRPr="0058612B" w:rsidRDefault="001815C2" w:rsidP="00802736">
            <w:pPr>
              <w:spacing w:line="276" w:lineRule="auto"/>
              <w:contextualSpacing/>
              <w:jc w:val="center"/>
              <w:rPr>
                <w:rFonts w:ascii="Roboto Light" w:eastAsia="Calibri" w:hAnsi="Roboto Light" w:cs="Times New Roman"/>
                <w:sz w:val="22"/>
                <w:szCs w:val="22"/>
              </w:rPr>
            </w:pPr>
            <w:r w:rsidRPr="0058612B">
              <w:rPr>
                <w:rFonts w:ascii="Roboto Light" w:eastAsia="Calibri" w:hAnsi="Roboto Light" w:cs="Times New Roman"/>
                <w:sz w:val="22"/>
                <w:szCs w:val="22"/>
              </w:rPr>
              <w:t>50</w:t>
            </w:r>
          </w:p>
        </w:tc>
      </w:tr>
      <w:tr w:rsidR="001815C2" w:rsidRPr="0058612B" w14:paraId="0644D29D" w14:textId="77777777" w:rsidTr="00802736">
        <w:trPr>
          <w:trHeight w:val="260"/>
        </w:trPr>
        <w:tc>
          <w:tcPr>
            <w:tcW w:w="6385" w:type="dxa"/>
            <w:shd w:val="clear" w:color="auto" w:fill="FFFFFF" w:themeFill="background1"/>
          </w:tcPr>
          <w:p w14:paraId="7B71AF4E" w14:textId="77777777" w:rsidR="001815C2" w:rsidRPr="0058612B" w:rsidRDefault="001815C2" w:rsidP="00802736">
            <w:pPr>
              <w:spacing w:line="276" w:lineRule="auto"/>
              <w:contextualSpacing/>
              <w:jc w:val="both"/>
              <w:rPr>
                <w:rFonts w:ascii="Roboto Light" w:eastAsia="Calibri" w:hAnsi="Roboto Light" w:cs="Times New Roman"/>
                <w:sz w:val="22"/>
                <w:szCs w:val="22"/>
              </w:rPr>
            </w:pPr>
            <w:r w:rsidRPr="0058612B">
              <w:rPr>
                <w:rFonts w:ascii="Roboto Light" w:eastAsia="Calibri" w:hAnsi="Roboto Light" w:cs="Times New Roman"/>
                <w:sz w:val="22"/>
                <w:szCs w:val="22"/>
              </w:rPr>
              <w:t xml:space="preserve">Having a research orientation (demonstrated concretely by relevant publications) to work more effectively on the assignment. </w:t>
            </w:r>
          </w:p>
        </w:tc>
        <w:tc>
          <w:tcPr>
            <w:tcW w:w="2974" w:type="dxa"/>
            <w:shd w:val="clear" w:color="auto" w:fill="FFFFFF" w:themeFill="background1"/>
          </w:tcPr>
          <w:p w14:paraId="535F336E" w14:textId="77777777" w:rsidR="001815C2" w:rsidRPr="0058612B" w:rsidRDefault="001815C2" w:rsidP="00802736">
            <w:pPr>
              <w:spacing w:line="276" w:lineRule="auto"/>
              <w:contextualSpacing/>
              <w:jc w:val="center"/>
              <w:rPr>
                <w:rFonts w:ascii="Roboto Light" w:eastAsia="Calibri" w:hAnsi="Roboto Light" w:cs="Times New Roman"/>
                <w:sz w:val="22"/>
                <w:szCs w:val="22"/>
              </w:rPr>
            </w:pPr>
            <w:r w:rsidRPr="0058612B">
              <w:rPr>
                <w:rFonts w:ascii="Roboto Light" w:eastAsia="Calibri" w:hAnsi="Roboto Light" w:cs="Times New Roman"/>
                <w:sz w:val="22"/>
                <w:szCs w:val="22"/>
              </w:rPr>
              <w:t>10</w:t>
            </w:r>
          </w:p>
        </w:tc>
      </w:tr>
      <w:tr w:rsidR="001815C2" w:rsidRPr="0058612B" w14:paraId="1A721808" w14:textId="77777777" w:rsidTr="00802736">
        <w:trPr>
          <w:trHeight w:val="260"/>
        </w:trPr>
        <w:tc>
          <w:tcPr>
            <w:tcW w:w="6385" w:type="dxa"/>
            <w:shd w:val="clear" w:color="auto" w:fill="FFFFFF" w:themeFill="background1"/>
          </w:tcPr>
          <w:p w14:paraId="195087BC" w14:textId="77777777" w:rsidR="001815C2" w:rsidRPr="00894B42" w:rsidRDefault="001815C2" w:rsidP="00802736">
            <w:pPr>
              <w:spacing w:line="276" w:lineRule="auto"/>
              <w:contextualSpacing/>
              <w:jc w:val="both"/>
              <w:rPr>
                <w:rFonts w:ascii="Roboto Light" w:eastAsia="Calibri" w:hAnsi="Roboto Light" w:cs="Times New Roman"/>
                <w:sz w:val="22"/>
                <w:szCs w:val="22"/>
              </w:rPr>
            </w:pPr>
            <w:r w:rsidRPr="00894B42">
              <w:rPr>
                <w:rFonts w:ascii="Roboto Light" w:eastAsia="Calibri" w:hAnsi="Roboto Light" w:cs="Times New Roman"/>
                <w:sz w:val="22"/>
                <w:szCs w:val="22"/>
              </w:rPr>
              <w:t>Exposure to IsDB and/or peer developmental institutions.</w:t>
            </w:r>
          </w:p>
        </w:tc>
        <w:tc>
          <w:tcPr>
            <w:tcW w:w="2974" w:type="dxa"/>
            <w:shd w:val="clear" w:color="auto" w:fill="FFFFFF" w:themeFill="background1"/>
          </w:tcPr>
          <w:p w14:paraId="417401B3" w14:textId="77777777" w:rsidR="001815C2" w:rsidRPr="0058612B" w:rsidRDefault="001815C2" w:rsidP="00802736">
            <w:pPr>
              <w:spacing w:line="276" w:lineRule="auto"/>
              <w:contextualSpacing/>
              <w:jc w:val="center"/>
              <w:rPr>
                <w:rFonts w:ascii="Roboto Light" w:eastAsia="Calibri" w:hAnsi="Roboto Light" w:cs="Times New Roman"/>
                <w:sz w:val="22"/>
                <w:szCs w:val="22"/>
              </w:rPr>
            </w:pPr>
            <w:r w:rsidRPr="00894B42">
              <w:rPr>
                <w:rFonts w:ascii="Roboto Light" w:eastAsia="Calibri" w:hAnsi="Roboto Light" w:cs="Times New Roman"/>
                <w:sz w:val="22"/>
                <w:szCs w:val="22"/>
              </w:rPr>
              <w:t>10</w:t>
            </w:r>
          </w:p>
        </w:tc>
      </w:tr>
      <w:tr w:rsidR="001815C2" w:rsidRPr="00D25784" w14:paraId="6B6E1342" w14:textId="77777777" w:rsidTr="00802736">
        <w:trPr>
          <w:trHeight w:val="260"/>
        </w:trPr>
        <w:tc>
          <w:tcPr>
            <w:tcW w:w="6385" w:type="dxa"/>
            <w:shd w:val="clear" w:color="auto" w:fill="FFFFFF" w:themeFill="background1"/>
          </w:tcPr>
          <w:p w14:paraId="440A76A0" w14:textId="39A87ED7" w:rsidR="001815C2" w:rsidRPr="00D25784" w:rsidRDefault="001815C2" w:rsidP="00802736">
            <w:pPr>
              <w:spacing w:line="276" w:lineRule="auto"/>
              <w:contextualSpacing/>
              <w:jc w:val="both"/>
              <w:rPr>
                <w:rFonts w:ascii="Roboto Light" w:eastAsia="Calibri" w:hAnsi="Roboto Light" w:cs="Times New Roman"/>
                <w:sz w:val="22"/>
                <w:szCs w:val="22"/>
              </w:rPr>
            </w:pPr>
            <w:r w:rsidRPr="00D25784">
              <w:rPr>
                <w:rFonts w:ascii="Roboto Light" w:eastAsia="Calibri" w:hAnsi="Roboto Light" w:cs="Times New Roman"/>
                <w:sz w:val="22"/>
                <w:szCs w:val="22"/>
              </w:rPr>
              <w:t>Language (English and French</w:t>
            </w:r>
            <w:r w:rsidR="007C5ED0" w:rsidRPr="00D25784">
              <w:rPr>
                <w:rFonts w:ascii="Roboto Light" w:eastAsia="Calibri" w:hAnsi="Roboto Light" w:cs="Times New Roman"/>
                <w:sz w:val="22"/>
                <w:szCs w:val="22"/>
              </w:rPr>
              <w:t>/</w:t>
            </w:r>
            <w:r w:rsidR="00405B06" w:rsidRPr="00D25784">
              <w:rPr>
                <w:rFonts w:ascii="Roboto Light" w:eastAsia="Calibri" w:hAnsi="Roboto Light" w:cs="Times New Roman"/>
                <w:sz w:val="22"/>
                <w:szCs w:val="22"/>
              </w:rPr>
              <w:t>Arabic</w:t>
            </w:r>
            <w:r w:rsidRPr="00D25784">
              <w:rPr>
                <w:rFonts w:ascii="Roboto Light" w:eastAsia="Calibri" w:hAnsi="Roboto Light" w:cs="Times New Roman"/>
                <w:sz w:val="22"/>
                <w:szCs w:val="22"/>
              </w:rPr>
              <w:t>): Excellent English = 10 Pts</w:t>
            </w:r>
          </w:p>
          <w:p w14:paraId="2610A2E1" w14:textId="1016D553" w:rsidR="001815C2" w:rsidRPr="00D25784" w:rsidRDefault="001815C2" w:rsidP="00802736">
            <w:pPr>
              <w:spacing w:line="276" w:lineRule="auto"/>
              <w:contextualSpacing/>
              <w:jc w:val="both"/>
              <w:rPr>
                <w:rFonts w:ascii="Roboto Light" w:eastAsia="Calibri" w:hAnsi="Roboto Light" w:cs="Times New Roman"/>
                <w:sz w:val="22"/>
                <w:szCs w:val="22"/>
              </w:rPr>
            </w:pPr>
            <w:r w:rsidRPr="00D25784">
              <w:rPr>
                <w:rFonts w:ascii="Roboto Light" w:eastAsia="Calibri" w:hAnsi="Roboto Light" w:cs="Times New Roman"/>
                <w:sz w:val="22"/>
                <w:szCs w:val="22"/>
              </w:rPr>
              <w:t>Excellent French</w:t>
            </w:r>
            <w:r w:rsidR="007C5ED0" w:rsidRPr="00D25784">
              <w:rPr>
                <w:rFonts w:ascii="Roboto Light" w:eastAsia="Calibri" w:hAnsi="Roboto Light" w:cs="Times New Roman"/>
                <w:sz w:val="22"/>
                <w:szCs w:val="22"/>
              </w:rPr>
              <w:t>/Arabic</w:t>
            </w:r>
            <w:r w:rsidRPr="00D25784">
              <w:rPr>
                <w:rFonts w:ascii="Roboto Light" w:eastAsia="Calibri" w:hAnsi="Roboto Light" w:cs="Times New Roman"/>
                <w:sz w:val="22"/>
                <w:szCs w:val="22"/>
              </w:rPr>
              <w:t xml:space="preserve"> = 5 Pts</w:t>
            </w:r>
          </w:p>
        </w:tc>
        <w:tc>
          <w:tcPr>
            <w:tcW w:w="2974" w:type="dxa"/>
            <w:shd w:val="clear" w:color="auto" w:fill="FFFFFF" w:themeFill="background1"/>
          </w:tcPr>
          <w:p w14:paraId="67455F83" w14:textId="77777777" w:rsidR="001815C2" w:rsidRPr="00D25784" w:rsidRDefault="001815C2" w:rsidP="00802736">
            <w:pPr>
              <w:spacing w:line="276" w:lineRule="auto"/>
              <w:contextualSpacing/>
              <w:jc w:val="center"/>
              <w:rPr>
                <w:rFonts w:ascii="Roboto Light" w:eastAsia="Calibri" w:hAnsi="Roboto Light" w:cs="Times New Roman"/>
                <w:sz w:val="22"/>
                <w:szCs w:val="22"/>
              </w:rPr>
            </w:pPr>
            <w:r w:rsidRPr="00D25784">
              <w:rPr>
                <w:rFonts w:ascii="Roboto Light" w:eastAsia="Calibri" w:hAnsi="Roboto Light" w:cs="Times New Roman"/>
                <w:sz w:val="22"/>
                <w:szCs w:val="22"/>
              </w:rPr>
              <w:t>15</w:t>
            </w:r>
          </w:p>
        </w:tc>
      </w:tr>
      <w:tr w:rsidR="001815C2" w:rsidRPr="0058612B" w14:paraId="4FA23C31" w14:textId="77777777" w:rsidTr="00802736">
        <w:trPr>
          <w:trHeight w:val="260"/>
        </w:trPr>
        <w:tc>
          <w:tcPr>
            <w:tcW w:w="6385" w:type="dxa"/>
            <w:shd w:val="clear" w:color="auto" w:fill="FFFFFF" w:themeFill="background1"/>
          </w:tcPr>
          <w:p w14:paraId="78E5AFAD" w14:textId="77777777" w:rsidR="001815C2" w:rsidRPr="00D25784" w:rsidRDefault="001815C2" w:rsidP="00802736">
            <w:pPr>
              <w:spacing w:line="276" w:lineRule="auto"/>
              <w:contextualSpacing/>
              <w:jc w:val="both"/>
              <w:rPr>
                <w:rFonts w:ascii="Roboto Light" w:eastAsia="Calibri" w:hAnsi="Roboto Light" w:cs="Times New Roman"/>
                <w:b/>
                <w:bCs/>
                <w:sz w:val="22"/>
                <w:szCs w:val="22"/>
              </w:rPr>
            </w:pPr>
            <w:r w:rsidRPr="00D25784">
              <w:rPr>
                <w:rFonts w:ascii="Roboto Light" w:eastAsia="Calibri" w:hAnsi="Roboto Light" w:cs="Times New Roman"/>
                <w:b/>
                <w:bCs/>
                <w:sz w:val="22"/>
                <w:szCs w:val="22"/>
              </w:rPr>
              <w:t>Total</w:t>
            </w:r>
          </w:p>
        </w:tc>
        <w:tc>
          <w:tcPr>
            <w:tcW w:w="2974" w:type="dxa"/>
            <w:shd w:val="clear" w:color="auto" w:fill="FFFFFF" w:themeFill="background1"/>
          </w:tcPr>
          <w:p w14:paraId="1E9184D9" w14:textId="77777777" w:rsidR="001815C2" w:rsidRPr="0058612B" w:rsidRDefault="001815C2" w:rsidP="00802736">
            <w:pPr>
              <w:spacing w:line="276" w:lineRule="auto"/>
              <w:contextualSpacing/>
              <w:jc w:val="center"/>
              <w:rPr>
                <w:rFonts w:ascii="Roboto Light" w:eastAsia="Calibri" w:hAnsi="Roboto Light" w:cs="Times New Roman"/>
                <w:b/>
                <w:bCs/>
                <w:sz w:val="22"/>
                <w:szCs w:val="22"/>
              </w:rPr>
            </w:pPr>
            <w:r w:rsidRPr="00D25784">
              <w:rPr>
                <w:rFonts w:ascii="Roboto Light" w:eastAsia="Calibri" w:hAnsi="Roboto Light" w:cs="Times New Roman"/>
                <w:b/>
                <w:bCs/>
                <w:sz w:val="22"/>
                <w:szCs w:val="22"/>
              </w:rPr>
              <w:t>100</w:t>
            </w:r>
          </w:p>
        </w:tc>
      </w:tr>
    </w:tbl>
    <w:p w14:paraId="42D0DCCA" w14:textId="77777777" w:rsidR="00443865" w:rsidRDefault="001815C2" w:rsidP="00443865">
      <w:pPr>
        <w:pStyle w:val="Default"/>
        <w:numPr>
          <w:ilvl w:val="1"/>
          <w:numId w:val="4"/>
        </w:numPr>
        <w:spacing w:after="89" w:line="276" w:lineRule="auto"/>
        <w:ind w:left="0" w:firstLine="0"/>
        <w:jc w:val="both"/>
        <w:rPr>
          <w:rFonts w:ascii="Roboto Light" w:hAnsi="Roboto Light"/>
          <w:sz w:val="22"/>
          <w:szCs w:val="22"/>
        </w:rPr>
      </w:pPr>
      <w:r w:rsidRPr="0058612B">
        <w:rPr>
          <w:rFonts w:ascii="Roboto Light" w:hAnsi="Roboto Light"/>
          <w:sz w:val="22"/>
          <w:szCs w:val="22"/>
        </w:rPr>
        <w:t>Shortlisted consultants may be invited for a virtual interview to evaluate their suitability for</w:t>
      </w:r>
      <w:r w:rsidR="00C12DF0">
        <w:rPr>
          <w:rFonts w:ascii="Roboto Light" w:hAnsi="Roboto Light"/>
          <w:sz w:val="22"/>
          <w:szCs w:val="22"/>
        </w:rPr>
        <w:t xml:space="preserve"> </w:t>
      </w:r>
      <w:r w:rsidR="00450913" w:rsidRPr="0058612B">
        <w:rPr>
          <w:rFonts w:ascii="Roboto Light" w:hAnsi="Roboto Light"/>
          <w:sz w:val="22"/>
          <w:szCs w:val="22"/>
        </w:rPr>
        <w:t>their</w:t>
      </w:r>
      <w:r w:rsidRPr="0058612B">
        <w:rPr>
          <w:rFonts w:ascii="Roboto Light" w:hAnsi="Roboto Light"/>
          <w:sz w:val="22"/>
          <w:szCs w:val="22"/>
        </w:rPr>
        <w:t xml:space="preserve"> role. </w:t>
      </w:r>
      <w:r w:rsidR="00D25784">
        <w:rPr>
          <w:rFonts w:ascii="Roboto Light" w:hAnsi="Roboto Light"/>
          <w:sz w:val="22"/>
          <w:szCs w:val="22"/>
        </w:rPr>
        <w:t xml:space="preserve"> </w:t>
      </w:r>
    </w:p>
    <w:p w14:paraId="7863FED6" w14:textId="1CF01E8E" w:rsidR="00FB3BB7" w:rsidRPr="00443865" w:rsidRDefault="00FB3BB7" w:rsidP="00443865">
      <w:pPr>
        <w:pStyle w:val="Default"/>
        <w:numPr>
          <w:ilvl w:val="1"/>
          <w:numId w:val="4"/>
        </w:numPr>
        <w:spacing w:after="89" w:line="276" w:lineRule="auto"/>
        <w:ind w:left="0" w:firstLine="0"/>
        <w:jc w:val="both"/>
        <w:rPr>
          <w:rFonts w:ascii="Roboto Light" w:hAnsi="Roboto Light"/>
          <w:sz w:val="22"/>
          <w:szCs w:val="22"/>
        </w:rPr>
      </w:pPr>
      <w:r w:rsidRPr="00443865">
        <w:rPr>
          <w:rFonts w:ascii="Roboto Light" w:hAnsi="Roboto Light"/>
          <w:sz w:val="22"/>
          <w:szCs w:val="22"/>
        </w:rPr>
        <w:lastRenderedPageBreak/>
        <w:t>This is a Fixed Budget-Based Selection. The IsDB, as the Client, will select the Consultant that submits the highest-ranked Technical Proposal without exceeding the budget indicated in the REOI, and will invite that Consultant to negotiate the Contract.</w:t>
      </w:r>
    </w:p>
    <w:p w14:paraId="304EEDF3" w14:textId="77777777" w:rsidR="00D25784" w:rsidRPr="0058612B" w:rsidRDefault="00D25784" w:rsidP="00D25784">
      <w:pPr>
        <w:pStyle w:val="Default"/>
        <w:spacing w:after="89" w:line="276" w:lineRule="auto"/>
        <w:jc w:val="both"/>
        <w:rPr>
          <w:rFonts w:ascii="Roboto Light" w:hAnsi="Roboto Light"/>
          <w:sz w:val="22"/>
          <w:szCs w:val="22"/>
        </w:rPr>
      </w:pPr>
    </w:p>
    <w:p w14:paraId="5ACE535F" w14:textId="76752713" w:rsidR="00627709" w:rsidRPr="0058612B" w:rsidRDefault="006742BA" w:rsidP="00957354">
      <w:pPr>
        <w:pStyle w:val="Heading2"/>
        <w:numPr>
          <w:ilvl w:val="0"/>
          <w:numId w:val="4"/>
        </w:numPr>
      </w:pPr>
      <w:bookmarkStart w:id="12" w:name="_Toc203985436"/>
      <w:r w:rsidRPr="0058612B">
        <w:t>Conflict of Interest</w:t>
      </w:r>
      <w:bookmarkEnd w:id="12"/>
      <w:r w:rsidRPr="0058612B">
        <w:t xml:space="preserve"> </w:t>
      </w:r>
    </w:p>
    <w:p w14:paraId="15225B16" w14:textId="55EB5362" w:rsidR="00D12CE2" w:rsidRDefault="00D12CE2" w:rsidP="00957354">
      <w:pPr>
        <w:pStyle w:val="Default"/>
        <w:numPr>
          <w:ilvl w:val="1"/>
          <w:numId w:val="4"/>
        </w:numPr>
        <w:spacing w:after="89" w:line="276" w:lineRule="auto"/>
        <w:ind w:left="0" w:firstLine="0"/>
        <w:jc w:val="both"/>
        <w:rPr>
          <w:rFonts w:ascii="Roboto Light" w:hAnsi="Roboto Light"/>
          <w:sz w:val="22"/>
          <w:szCs w:val="22"/>
        </w:rPr>
      </w:pPr>
      <w:r w:rsidRPr="0058612B">
        <w:rPr>
          <w:rFonts w:ascii="Roboto Light" w:hAnsi="Roboto Light"/>
          <w:sz w:val="22"/>
          <w:szCs w:val="22"/>
        </w:rPr>
        <w:t xml:space="preserve">According to IsDB rules, the consultant must not have been involved in the design and/or implementation, supervision, and coordination of and/or have benefited from the program/project (or theme) under evaluation. The consultant will be requested to sign a declaration that s/he has not </w:t>
      </w:r>
      <w:r w:rsidR="00B413CA" w:rsidRPr="0058612B">
        <w:rPr>
          <w:rFonts w:ascii="Roboto Light" w:hAnsi="Roboto Light"/>
          <w:sz w:val="22"/>
          <w:szCs w:val="22"/>
        </w:rPr>
        <w:t>been</w:t>
      </w:r>
      <w:r w:rsidR="00AF7BF7" w:rsidRPr="0058612B">
        <w:rPr>
          <w:rFonts w:ascii="Roboto Light" w:hAnsi="Roboto Light"/>
          <w:sz w:val="22"/>
          <w:szCs w:val="22"/>
        </w:rPr>
        <w:t xml:space="preserve"> involved in any of the relevant activities i</w:t>
      </w:r>
      <w:r w:rsidRPr="0058612B">
        <w:rPr>
          <w:rFonts w:ascii="Roboto Light" w:hAnsi="Roboto Light"/>
          <w:sz w:val="22"/>
          <w:szCs w:val="22"/>
        </w:rPr>
        <w:t xml:space="preserve">n any capacity. </w:t>
      </w:r>
    </w:p>
    <w:p w14:paraId="312B7305" w14:textId="77777777" w:rsidR="005D211A" w:rsidRPr="005D211A" w:rsidRDefault="005D211A" w:rsidP="001F618E">
      <w:pPr>
        <w:pStyle w:val="ListParagraph"/>
        <w:numPr>
          <w:ilvl w:val="0"/>
          <w:numId w:val="4"/>
        </w:numPr>
        <w:rPr>
          <w:rFonts w:ascii="Oswald" w:hAnsi="Oswald"/>
          <w:lang w:val="en-GB"/>
        </w:rPr>
      </w:pPr>
      <w:r w:rsidRPr="005D211A">
        <w:rPr>
          <w:rFonts w:ascii="Oswald" w:hAnsi="Oswald"/>
          <w:b/>
          <w:bCs/>
          <w:color w:val="000000"/>
          <w:lang w:val="en-GB"/>
        </w:rPr>
        <w:t xml:space="preserve">EOI Submission for the </w:t>
      </w:r>
      <w:proofErr w:type="gramStart"/>
      <w:r w:rsidRPr="005D211A">
        <w:rPr>
          <w:rFonts w:ascii="Oswald" w:hAnsi="Oswald"/>
          <w:b/>
          <w:bCs/>
          <w:color w:val="000000"/>
          <w:lang w:val="en-GB"/>
        </w:rPr>
        <w:t>assignment :</w:t>
      </w:r>
      <w:proofErr w:type="gramEnd"/>
      <w:r w:rsidRPr="005D211A">
        <w:rPr>
          <w:rFonts w:ascii="Oswald" w:hAnsi="Oswald"/>
          <w:b/>
          <w:bCs/>
          <w:color w:val="000000"/>
          <w:lang w:val="en-GB"/>
        </w:rPr>
        <w:t xml:space="preserve"> </w:t>
      </w:r>
    </w:p>
    <w:p w14:paraId="6AE841DC" w14:textId="02BA3E83" w:rsidR="005D211A" w:rsidRPr="00642828" w:rsidRDefault="006E36B1" w:rsidP="00642828">
      <w:pPr>
        <w:pStyle w:val="ListParagraph"/>
        <w:numPr>
          <w:ilvl w:val="1"/>
          <w:numId w:val="11"/>
        </w:numPr>
        <w:jc w:val="both"/>
        <w:rPr>
          <w:rFonts w:ascii="Roboto Light" w:hAnsi="Roboto Light"/>
          <w:lang w:val="en-GB"/>
        </w:rPr>
      </w:pPr>
      <w:r>
        <w:rPr>
          <w:rFonts w:ascii="Roboto Light" w:hAnsi="Roboto Light"/>
          <w:b/>
          <w:bCs/>
          <w:lang w:val="en-GB"/>
        </w:rPr>
        <w:t xml:space="preserve">      </w:t>
      </w:r>
      <w:r w:rsidR="005D211A" w:rsidRPr="00642828">
        <w:rPr>
          <w:rFonts w:ascii="Roboto Light" w:hAnsi="Roboto Light"/>
          <w:b/>
          <w:bCs/>
          <w:lang w:val="en-GB"/>
        </w:rPr>
        <w:t>Important Consultant instruction:</w:t>
      </w:r>
      <w:r w:rsidR="005D211A" w:rsidRPr="00642828">
        <w:rPr>
          <w:rFonts w:ascii="Roboto Light" w:hAnsi="Roboto Light"/>
          <w:lang w:val="en-GB"/>
        </w:rPr>
        <w:t xml:space="preserve"> It is essential for all consultants to adhere to the designated email address provided below for any questions, queries, and proposal submissions. Emails sent to any other address listed below may not be acknowledged or considered as a submission from the consultant.</w:t>
      </w:r>
    </w:p>
    <w:p w14:paraId="6B3373DB" w14:textId="35F21B3E" w:rsidR="005D211A" w:rsidRPr="005D211A" w:rsidRDefault="006E36B1" w:rsidP="00642828">
      <w:pPr>
        <w:pStyle w:val="ListParagraph"/>
        <w:numPr>
          <w:ilvl w:val="1"/>
          <w:numId w:val="11"/>
        </w:numPr>
        <w:rPr>
          <w:rFonts w:ascii="Roboto Light" w:hAnsi="Roboto Light"/>
          <w:lang w:val="en-GB"/>
        </w:rPr>
      </w:pPr>
      <w:r>
        <w:rPr>
          <w:rFonts w:ascii="Roboto Light" w:hAnsi="Roboto Light"/>
          <w:b/>
          <w:bCs/>
          <w:lang w:val="en-GB"/>
        </w:rPr>
        <w:t xml:space="preserve">  </w:t>
      </w:r>
      <w:r w:rsidR="005D211A" w:rsidRPr="005D211A">
        <w:rPr>
          <w:rFonts w:ascii="Roboto Light" w:hAnsi="Roboto Light"/>
          <w:b/>
          <w:bCs/>
          <w:lang w:val="en-GB"/>
        </w:rPr>
        <w:t>Deadline for EOI/Proposal Submission:</w:t>
      </w:r>
      <w:r w:rsidR="005D211A" w:rsidRPr="005D211A">
        <w:rPr>
          <w:rFonts w:ascii="Roboto Light" w:hAnsi="Roboto Light"/>
          <w:lang w:val="en-GB"/>
        </w:rPr>
        <w:t xml:space="preserve"> </w:t>
      </w:r>
      <w:r w:rsidR="00253AA8" w:rsidRPr="0066029C">
        <w:rPr>
          <w:rFonts w:ascii="Roboto Light" w:hAnsi="Roboto Light"/>
          <w:b/>
          <w:bCs/>
          <w:u w:val="single"/>
          <w:lang w:val="en-GB"/>
        </w:rPr>
        <w:t>2</w:t>
      </w:r>
      <w:r w:rsidR="009A1C4D">
        <w:rPr>
          <w:rFonts w:ascii="Roboto Light" w:hAnsi="Roboto Light"/>
          <w:b/>
          <w:bCs/>
          <w:u w:val="single"/>
          <w:lang w:val="en-GB"/>
        </w:rPr>
        <w:t>4</w:t>
      </w:r>
      <w:r w:rsidR="005D211A" w:rsidRPr="0066029C">
        <w:rPr>
          <w:rFonts w:ascii="Roboto Light" w:hAnsi="Roboto Light"/>
          <w:b/>
          <w:bCs/>
          <w:u w:val="single"/>
          <w:vertAlign w:val="superscript"/>
          <w:lang w:val="en-GB"/>
        </w:rPr>
        <w:t>th</w:t>
      </w:r>
      <w:r w:rsidR="005D211A" w:rsidRPr="0066029C">
        <w:rPr>
          <w:rFonts w:ascii="Roboto Light" w:hAnsi="Roboto Light"/>
          <w:b/>
          <w:bCs/>
          <w:u w:val="single"/>
          <w:lang w:val="en-GB"/>
        </w:rPr>
        <w:t xml:space="preserve"> </w:t>
      </w:r>
      <w:r w:rsidR="00253AA8" w:rsidRPr="0066029C">
        <w:rPr>
          <w:rFonts w:ascii="Roboto Light" w:hAnsi="Roboto Light"/>
          <w:b/>
          <w:bCs/>
          <w:u w:val="single"/>
          <w:lang w:val="en-GB"/>
        </w:rPr>
        <w:t>August 2025</w:t>
      </w:r>
    </w:p>
    <w:p w14:paraId="2FF077CB" w14:textId="72E32994" w:rsidR="005D211A" w:rsidRPr="00CC78C4" w:rsidRDefault="006E36B1" w:rsidP="00642828">
      <w:pPr>
        <w:pStyle w:val="ListParagraph"/>
        <w:numPr>
          <w:ilvl w:val="1"/>
          <w:numId w:val="11"/>
        </w:numPr>
        <w:rPr>
          <w:rFonts w:ascii="Roboto Light" w:hAnsi="Roboto Light"/>
        </w:rPr>
      </w:pPr>
      <w:r>
        <w:rPr>
          <w:rFonts w:ascii="Roboto Light" w:hAnsi="Roboto Light"/>
          <w:b/>
          <w:bCs/>
        </w:rPr>
        <w:t xml:space="preserve">  </w:t>
      </w:r>
      <w:r w:rsidR="005D211A" w:rsidRPr="005D211A">
        <w:rPr>
          <w:rFonts w:ascii="Roboto Light" w:hAnsi="Roboto Light"/>
          <w:b/>
          <w:bCs/>
        </w:rPr>
        <w:t>Contact for Clarification Email:</w:t>
      </w:r>
      <w:r w:rsidR="005D211A" w:rsidRPr="005D211A">
        <w:rPr>
          <w:rFonts w:ascii="Roboto Light" w:hAnsi="Roboto Light"/>
        </w:rPr>
        <w:t xml:space="preserve"> General - BCC202</w:t>
      </w:r>
      <w:r w:rsidR="00B61257">
        <w:rPr>
          <w:rFonts w:ascii="Roboto Light" w:hAnsi="Roboto Light"/>
        </w:rPr>
        <w:t>5</w:t>
      </w:r>
      <w:r w:rsidR="005D211A" w:rsidRPr="005D211A">
        <w:rPr>
          <w:rFonts w:ascii="Roboto Light" w:hAnsi="Roboto Light"/>
        </w:rPr>
        <w:t>-0</w:t>
      </w:r>
      <w:r w:rsidR="00B61257">
        <w:rPr>
          <w:rFonts w:ascii="Roboto Light" w:hAnsi="Roboto Light"/>
        </w:rPr>
        <w:t>48</w:t>
      </w:r>
      <w:r w:rsidR="005D211A" w:rsidRPr="005D211A">
        <w:rPr>
          <w:rFonts w:ascii="Roboto Light" w:hAnsi="Roboto Light"/>
        </w:rPr>
        <w:t xml:space="preserve"> </w:t>
      </w:r>
      <w:bookmarkStart w:id="13" w:name="_Hlk205459453"/>
      <w:r w:rsidR="00CC78C4" w:rsidRPr="00CC78C4">
        <w:rPr>
          <w:rFonts w:ascii="Roboto Light" w:hAnsi="Roboto Light"/>
        </w:rPr>
        <w:t>EVALUATION OF HEALTH SECTOR INTERVENTIONS BY THE ISLAMIC DEVELOPMENT BANK</w:t>
      </w:r>
      <w:bookmarkEnd w:id="13"/>
      <w:r w:rsidR="00CC78C4">
        <w:rPr>
          <w:rFonts w:ascii="Roboto Light" w:hAnsi="Roboto Light"/>
        </w:rPr>
        <w:t xml:space="preserve"> </w:t>
      </w:r>
      <w:r w:rsidR="007F2E20" w:rsidRPr="00EA021F">
        <w:t xml:space="preserve"> </w:t>
      </w:r>
      <w:hyperlink r:id="rId11" w:history="1">
        <w:r w:rsidR="007F2E20" w:rsidRPr="00282BEB">
          <w:rPr>
            <w:rStyle w:val="Hyperlink"/>
          </w:rPr>
          <w:t>704895cc.isdb.org@emea.teams.ms</w:t>
        </w:r>
      </w:hyperlink>
      <w:r w:rsidR="007F2E20">
        <w:t xml:space="preserve"> </w:t>
      </w:r>
      <w:r w:rsidR="005D211A" w:rsidRPr="00CC78C4">
        <w:rPr>
          <w:rFonts w:ascii="Roboto Light" w:hAnsi="Roboto Light"/>
        </w:rPr>
        <w:t xml:space="preserve"> </w:t>
      </w:r>
    </w:p>
    <w:p w14:paraId="37307B7E" w14:textId="52C8CC49" w:rsidR="005D211A" w:rsidRPr="005D211A" w:rsidRDefault="00642828" w:rsidP="00642828">
      <w:pPr>
        <w:pStyle w:val="ListParagraph"/>
        <w:numPr>
          <w:ilvl w:val="1"/>
          <w:numId w:val="11"/>
        </w:numPr>
        <w:rPr>
          <w:rFonts w:ascii="Roboto Light" w:hAnsi="Roboto Light"/>
        </w:rPr>
      </w:pPr>
      <w:r>
        <w:rPr>
          <w:rFonts w:ascii="Roboto Light" w:hAnsi="Roboto Light"/>
          <w:b/>
          <w:bCs/>
        </w:rPr>
        <w:t xml:space="preserve">  </w:t>
      </w:r>
      <w:r w:rsidR="005D211A" w:rsidRPr="005D211A">
        <w:rPr>
          <w:rFonts w:ascii="Roboto Light" w:hAnsi="Roboto Light"/>
          <w:b/>
          <w:bCs/>
        </w:rPr>
        <w:t>Expression of Interest Submission Email:</w:t>
      </w:r>
      <w:r w:rsidR="005D211A" w:rsidRPr="005D211A">
        <w:rPr>
          <w:rFonts w:ascii="Roboto Light" w:hAnsi="Roboto Light"/>
        </w:rPr>
        <w:t xml:space="preserve"> EOI Submission - BCC202</w:t>
      </w:r>
      <w:r w:rsidR="00CC78C4">
        <w:rPr>
          <w:rFonts w:ascii="Roboto Light" w:hAnsi="Roboto Light"/>
        </w:rPr>
        <w:t>5</w:t>
      </w:r>
      <w:r w:rsidR="005D211A" w:rsidRPr="005D211A">
        <w:rPr>
          <w:rFonts w:ascii="Roboto Light" w:hAnsi="Roboto Light"/>
        </w:rPr>
        <w:t>-0</w:t>
      </w:r>
      <w:r w:rsidR="00CC78C4">
        <w:rPr>
          <w:rFonts w:ascii="Roboto Light" w:hAnsi="Roboto Light"/>
        </w:rPr>
        <w:t>48</w:t>
      </w:r>
      <w:r w:rsidR="005D211A" w:rsidRPr="005D211A">
        <w:rPr>
          <w:rFonts w:ascii="Roboto Light" w:hAnsi="Roboto Light"/>
        </w:rPr>
        <w:t xml:space="preserve"> </w:t>
      </w:r>
      <w:r w:rsidR="00CC78C4" w:rsidRPr="00CC78C4">
        <w:rPr>
          <w:rFonts w:ascii="Roboto Light" w:hAnsi="Roboto Light"/>
        </w:rPr>
        <w:t xml:space="preserve">EVALUATION OF HEALTH SECTOR INTERVENTIONS BY THE ISLAMIC DEVELOPMENT BANK </w:t>
      </w:r>
      <w:r w:rsidR="00CC78C4">
        <w:rPr>
          <w:rFonts w:ascii="Roboto Light" w:hAnsi="Roboto Light"/>
        </w:rPr>
        <w:t>_</w:t>
      </w:r>
      <w:r w:rsidR="00EA021F" w:rsidRPr="00EA021F">
        <w:t xml:space="preserve"> </w:t>
      </w:r>
      <w:hyperlink r:id="rId12" w:history="1">
        <w:r w:rsidR="00EA021F" w:rsidRPr="00282BEB">
          <w:rPr>
            <w:rStyle w:val="Hyperlink"/>
          </w:rPr>
          <w:t>704895cc.isdb.org@emea.teams.ms</w:t>
        </w:r>
      </w:hyperlink>
      <w:r w:rsidR="00EA021F">
        <w:t xml:space="preserve"> </w:t>
      </w:r>
    </w:p>
    <w:p w14:paraId="35B10511" w14:textId="77777777" w:rsidR="005D211A" w:rsidRPr="0058612B" w:rsidRDefault="005D211A" w:rsidP="00D12BB4">
      <w:pPr>
        <w:pStyle w:val="Default"/>
        <w:spacing w:after="89" w:line="276" w:lineRule="auto"/>
        <w:ind w:left="360"/>
        <w:jc w:val="both"/>
        <w:rPr>
          <w:rFonts w:ascii="Roboto Light" w:hAnsi="Roboto Light"/>
          <w:sz w:val="22"/>
          <w:szCs w:val="22"/>
        </w:rPr>
      </w:pPr>
    </w:p>
    <w:sectPr w:rsidR="005D211A" w:rsidRPr="0058612B" w:rsidSect="005F20BC">
      <w:headerReference w:type="even" r:id="rId13"/>
      <w:headerReference w:type="default" r:id="rId14"/>
      <w:footerReference w:type="default" r:id="rId15"/>
      <w:headerReference w:type="first" r:id="rId16"/>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1FF0DC" w14:textId="77777777" w:rsidR="00090B75" w:rsidRDefault="00090B75" w:rsidP="00A43D60">
      <w:pPr>
        <w:spacing w:after="0" w:line="240" w:lineRule="auto"/>
      </w:pPr>
      <w:r>
        <w:separator/>
      </w:r>
    </w:p>
  </w:endnote>
  <w:endnote w:type="continuationSeparator" w:id="0">
    <w:p w14:paraId="36559E59" w14:textId="77777777" w:rsidR="00090B75" w:rsidRDefault="00090B75" w:rsidP="00A43D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Light">
    <w:panose1 w:val="02000000000000000000"/>
    <w:charset w:val="00"/>
    <w:family w:val="auto"/>
    <w:pitch w:val="variable"/>
    <w:sig w:usb0="E00002FF" w:usb1="5000205B" w:usb2="00000020" w:usb3="00000000" w:csb0="0000019F" w:csb1="00000000"/>
  </w:font>
  <w:font w:name="Aptos">
    <w:charset w:val="00"/>
    <w:family w:val="swiss"/>
    <w:pitch w:val="variable"/>
    <w:sig w:usb0="20000287" w:usb1="00000003" w:usb2="00000000" w:usb3="00000000" w:csb0="0000019F" w:csb1="00000000"/>
  </w:font>
  <w:font w:name="Roboto">
    <w:panose1 w:val="02000000000000000000"/>
    <w:charset w:val="00"/>
    <w:family w:val="auto"/>
    <w:pitch w:val="variable"/>
    <w:sig w:usb0="E00002EF" w:usb1="5000205B" w:usb2="0000002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Oswald">
    <w:panose1 w:val="00000500000000000000"/>
    <w:charset w:val="00"/>
    <w:family w:val="auto"/>
    <w:pitch w:val="variable"/>
    <w:sig w:usb0="20000207" w:usb1="00000000" w:usb2="00000000" w:usb3="00000000" w:csb0="00000197"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19439830"/>
      <w:docPartObj>
        <w:docPartGallery w:val="Page Numbers (Bottom of Page)"/>
        <w:docPartUnique/>
      </w:docPartObj>
    </w:sdtPr>
    <w:sdtEndPr>
      <w:rPr>
        <w:noProof/>
      </w:rPr>
    </w:sdtEndPr>
    <w:sdtContent>
      <w:p w14:paraId="31D50630" w14:textId="6F2645B7" w:rsidR="005F20BC" w:rsidRDefault="005F20B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5A57D41" w14:textId="77777777" w:rsidR="005F20BC" w:rsidRDefault="005F20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CAF673" w14:textId="77777777" w:rsidR="00090B75" w:rsidRDefault="00090B75" w:rsidP="00A43D60">
      <w:pPr>
        <w:spacing w:after="0" w:line="240" w:lineRule="auto"/>
      </w:pPr>
      <w:r>
        <w:separator/>
      </w:r>
    </w:p>
  </w:footnote>
  <w:footnote w:type="continuationSeparator" w:id="0">
    <w:p w14:paraId="3ECAECDE" w14:textId="77777777" w:rsidR="00090B75" w:rsidRDefault="00090B75" w:rsidP="00A43D60">
      <w:pPr>
        <w:spacing w:after="0" w:line="240" w:lineRule="auto"/>
      </w:pPr>
      <w:r>
        <w:continuationSeparator/>
      </w:r>
    </w:p>
  </w:footnote>
  <w:footnote w:id="1">
    <w:p w14:paraId="4C7DF580" w14:textId="0E2D50CA" w:rsidR="00AA6E9C" w:rsidRPr="00A524C1" w:rsidRDefault="00AA6E9C" w:rsidP="00A524C1">
      <w:pPr>
        <w:pStyle w:val="FootnoteText"/>
        <w:jc w:val="both"/>
        <w:rPr>
          <w:rFonts w:ascii="Roboto Light" w:hAnsi="Roboto Light"/>
        </w:rPr>
      </w:pPr>
      <w:r w:rsidRPr="00A524C1">
        <w:rPr>
          <w:rStyle w:val="FootnoteReference"/>
          <w:rFonts w:ascii="Roboto Light" w:hAnsi="Roboto Light"/>
          <w:sz w:val="16"/>
          <w:szCs w:val="16"/>
        </w:rPr>
        <w:footnoteRef/>
      </w:r>
      <w:r w:rsidRPr="00A524C1">
        <w:rPr>
          <w:rFonts w:ascii="Roboto Light" w:hAnsi="Roboto Light"/>
          <w:sz w:val="16"/>
          <w:szCs w:val="16"/>
        </w:rPr>
        <w:t xml:space="preserve"> </w:t>
      </w:r>
      <w:r w:rsidR="00092E3B">
        <w:rPr>
          <w:rFonts w:ascii="Roboto Light" w:hAnsi="Roboto Light"/>
          <w:sz w:val="16"/>
          <w:szCs w:val="16"/>
        </w:rPr>
        <w:t xml:space="preserve">IsDB Institute </w:t>
      </w:r>
      <w:r w:rsidR="00092E3B" w:rsidRPr="00A524C1">
        <w:rPr>
          <w:rFonts w:ascii="Roboto Light" w:hAnsi="Roboto Light"/>
          <w:sz w:val="16"/>
          <w:szCs w:val="16"/>
        </w:rPr>
        <w:t xml:space="preserve">Economic Research and Statistics Division </w:t>
      </w:r>
      <w:r w:rsidR="00092E3B">
        <w:rPr>
          <w:rFonts w:ascii="Roboto Light" w:hAnsi="Roboto Light"/>
          <w:sz w:val="16"/>
          <w:szCs w:val="16"/>
        </w:rPr>
        <w:t xml:space="preserve">(2021). </w:t>
      </w:r>
      <w:r w:rsidRPr="00A524C1">
        <w:rPr>
          <w:rFonts w:ascii="Roboto Light" w:hAnsi="Roboto Light"/>
          <w:sz w:val="16"/>
          <w:szCs w:val="16"/>
        </w:rPr>
        <w:t>COVID-19 Pandemic and the Economies of IsDB Member Countries: Impacts and Prospects.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C8155D" w14:textId="77AEC48C" w:rsidR="00A43D60" w:rsidRDefault="00A43D60">
    <w:pPr>
      <w:pStyle w:val="Header"/>
    </w:pPr>
    <w:r>
      <w:rPr>
        <w:noProof/>
      </w:rPr>
      <mc:AlternateContent>
        <mc:Choice Requires="wps">
          <w:drawing>
            <wp:anchor distT="0" distB="0" distL="0" distR="0" simplePos="0" relativeHeight="251658241" behindDoc="0" locked="0" layoutInCell="1" allowOverlap="1" wp14:anchorId="06B735CF" wp14:editId="3B214952">
              <wp:simplePos x="635" y="635"/>
              <wp:positionH relativeFrom="page">
                <wp:align>left</wp:align>
              </wp:positionH>
              <wp:positionV relativeFrom="page">
                <wp:align>top</wp:align>
              </wp:positionV>
              <wp:extent cx="758190" cy="370205"/>
              <wp:effectExtent l="0" t="0" r="3810" b="10795"/>
              <wp:wrapNone/>
              <wp:docPr id="1854832301" name="Text Box 2"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58190" cy="370205"/>
                      </a:xfrm>
                      <a:prstGeom prst="rect">
                        <a:avLst/>
                      </a:prstGeom>
                      <a:noFill/>
                      <a:ln>
                        <a:noFill/>
                      </a:ln>
                    </wps:spPr>
                    <wps:txbx>
                      <w:txbxContent>
                        <w:p w14:paraId="35D0430E" w14:textId="11A9322D" w:rsidR="00A43D60" w:rsidRPr="00A43D60" w:rsidRDefault="00A43D60" w:rsidP="00A43D60">
                          <w:pPr>
                            <w:spacing w:after="0"/>
                            <w:rPr>
                              <w:rFonts w:ascii="Calibri" w:eastAsia="Calibri" w:hAnsi="Calibri" w:cs="Calibri"/>
                              <w:noProof/>
                              <w:color w:val="000000"/>
                              <w:sz w:val="20"/>
                              <w:szCs w:val="20"/>
                            </w:rPr>
                          </w:pPr>
                          <w:r w:rsidRPr="00A43D60">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6B735CF" id="_x0000_t202" coordsize="21600,21600" o:spt="202" path="m,l,21600r21600,l21600,xe">
              <v:stroke joinstyle="miter"/>
              <v:path gradientshapeok="t" o:connecttype="rect"/>
            </v:shapetype>
            <v:shape id="Text Box 2" o:spid="_x0000_s1026" type="#_x0000_t202" alt="Protected" style="position:absolute;margin-left:0;margin-top:0;width:59.7pt;height:29.15pt;z-index:251658241;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" filled="f" stroked="f">
              <v:textbox style="mso-fit-shape-to-text:t" inset="20pt,15pt,0,0">
                <w:txbxContent>
                  <w:p w14:paraId="35D0430E" w14:textId="11A9322D" w:rsidR="00A43D60" w:rsidRPr="00A43D60" w:rsidRDefault="00A43D60" w:rsidP="00A43D60">
                    <w:pPr>
                      <w:spacing w:after="0"/>
                      <w:rPr>
                        <w:rFonts w:ascii="Calibri" w:eastAsia="Calibri" w:hAnsi="Calibri" w:cs="Calibri"/>
                        <w:noProof/>
                        <w:color w:val="000000"/>
                        <w:sz w:val="20"/>
                        <w:szCs w:val="20"/>
                      </w:rPr>
                    </w:pPr>
                    <w:r w:rsidRPr="00A43D60">
                      <w:rPr>
                        <w:rFonts w:ascii="Calibri" w:eastAsia="Calibri" w:hAnsi="Calibri" w:cs="Calibri"/>
                        <w:noProof/>
                        <w:color w:val="000000"/>
                        <w:sz w:val="20"/>
                        <w:szCs w:val="20"/>
                      </w:rPr>
                      <w:t>Protected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A3839A" w14:textId="21DF83EF" w:rsidR="00A43D60" w:rsidRDefault="00A43D60">
    <w:pPr>
      <w:pStyle w:val="Header"/>
    </w:pPr>
    <w:r>
      <w:rPr>
        <w:noProof/>
      </w:rPr>
      <mc:AlternateContent>
        <mc:Choice Requires="wps">
          <w:drawing>
            <wp:anchor distT="0" distB="0" distL="0" distR="0" simplePos="0" relativeHeight="251658242" behindDoc="0" locked="0" layoutInCell="1" allowOverlap="1" wp14:anchorId="16D5359A" wp14:editId="03149D94">
              <wp:simplePos x="914400" y="457200"/>
              <wp:positionH relativeFrom="page">
                <wp:align>left</wp:align>
              </wp:positionH>
              <wp:positionV relativeFrom="page">
                <wp:align>top</wp:align>
              </wp:positionV>
              <wp:extent cx="758190" cy="370205"/>
              <wp:effectExtent l="0" t="0" r="3810" b="10795"/>
              <wp:wrapNone/>
              <wp:docPr id="3835830" name="Text Box 3"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58190" cy="370205"/>
                      </a:xfrm>
                      <a:prstGeom prst="rect">
                        <a:avLst/>
                      </a:prstGeom>
                      <a:noFill/>
                      <a:ln>
                        <a:noFill/>
                      </a:ln>
                    </wps:spPr>
                    <wps:txbx>
                      <w:txbxContent>
                        <w:p w14:paraId="67C3E346" w14:textId="228CEA19" w:rsidR="00A43D60" w:rsidRPr="00A43D60" w:rsidRDefault="00A43D60" w:rsidP="00A43D60">
                          <w:pPr>
                            <w:spacing w:after="0"/>
                            <w:rPr>
                              <w:rFonts w:ascii="Calibri" w:eastAsia="Calibri" w:hAnsi="Calibri" w:cs="Calibri"/>
                              <w:noProof/>
                              <w:color w:val="000000"/>
                              <w:sz w:val="20"/>
                              <w:szCs w:val="20"/>
                            </w:rPr>
                          </w:pP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16D5359A" id="_x0000_t202" coordsize="21600,21600" o:spt="202" path="m,l,21600r21600,l21600,xe">
              <v:stroke joinstyle="miter"/>
              <v:path gradientshapeok="t" o:connecttype="rect"/>
            </v:shapetype>
            <v:shape id="Text Box 3" o:spid="_x0000_s1027" type="#_x0000_t202" alt="Protected" style="position:absolute;margin-left:0;margin-top:0;width:59.7pt;height:29.15pt;z-index:251658242;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" filled="f" stroked="f">
              <v:textbox style="mso-fit-shape-to-text:t" inset="20pt,15pt,0,0">
                <w:txbxContent>
                  <w:p w14:paraId="67C3E346" w14:textId="228CEA19" w:rsidR="00A43D60" w:rsidRPr="00A43D60" w:rsidRDefault="00A43D60" w:rsidP="00A43D60">
                    <w:pPr>
                      <w:spacing w:after="0"/>
                      <w:rPr>
                        <w:rFonts w:ascii="Calibri" w:eastAsia="Calibri" w:hAnsi="Calibri" w:cs="Calibri"/>
                        <w:noProof/>
                        <w:color w:val="000000"/>
                        <w:sz w:val="20"/>
                        <w:szCs w:val="20"/>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218589" w14:textId="509BC1D2" w:rsidR="00A43D60" w:rsidRDefault="00A43D60">
    <w:pPr>
      <w:pStyle w:val="Header"/>
    </w:pPr>
    <w:r>
      <w:rPr>
        <w:noProof/>
      </w:rPr>
      <mc:AlternateContent>
        <mc:Choice Requires="wps">
          <w:drawing>
            <wp:anchor distT="0" distB="0" distL="0" distR="0" simplePos="0" relativeHeight="251658240" behindDoc="0" locked="0" layoutInCell="1" allowOverlap="1" wp14:anchorId="0267720E" wp14:editId="0CECA177">
              <wp:simplePos x="635" y="635"/>
              <wp:positionH relativeFrom="page">
                <wp:align>left</wp:align>
              </wp:positionH>
              <wp:positionV relativeFrom="page">
                <wp:align>top</wp:align>
              </wp:positionV>
              <wp:extent cx="758190" cy="370205"/>
              <wp:effectExtent l="0" t="0" r="3810" b="10795"/>
              <wp:wrapNone/>
              <wp:docPr id="1316872843" name="Text Box 1"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58190" cy="370205"/>
                      </a:xfrm>
                      <a:prstGeom prst="rect">
                        <a:avLst/>
                      </a:prstGeom>
                      <a:noFill/>
                      <a:ln>
                        <a:noFill/>
                      </a:ln>
                    </wps:spPr>
                    <wps:txbx>
                      <w:txbxContent>
                        <w:p w14:paraId="55D77E28" w14:textId="470F977A" w:rsidR="00A43D60" w:rsidRPr="00A43D60" w:rsidRDefault="00A43D60" w:rsidP="00A43D60">
                          <w:pPr>
                            <w:spacing w:after="0"/>
                            <w:rPr>
                              <w:rFonts w:ascii="Calibri" w:eastAsia="Calibri" w:hAnsi="Calibri" w:cs="Calibri"/>
                              <w:noProof/>
                              <w:color w:val="000000"/>
                              <w:sz w:val="20"/>
                              <w:szCs w:val="20"/>
                            </w:rPr>
                          </w:pPr>
                          <w:r w:rsidRPr="00A43D60">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267720E" id="_x0000_t202" coordsize="21600,21600" o:spt="202" path="m,l,21600r21600,l21600,xe">
              <v:stroke joinstyle="miter"/>
              <v:path gradientshapeok="t" o:connecttype="rect"/>
            </v:shapetype>
            <v:shape id="Text Box 1" o:spid="_x0000_s1028" type="#_x0000_t202" alt="Protected" style="position:absolute;margin-left:0;margin-top:0;width:59.7pt;height:29.1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" filled="f" stroked="f">
              <v:textbox style="mso-fit-shape-to-text:t" inset="20pt,15pt,0,0">
                <w:txbxContent>
                  <w:p w14:paraId="55D77E28" w14:textId="470F977A" w:rsidR="00A43D60" w:rsidRPr="00A43D60" w:rsidRDefault="00A43D60" w:rsidP="00A43D60">
                    <w:pPr>
                      <w:spacing w:after="0"/>
                      <w:rPr>
                        <w:rFonts w:ascii="Calibri" w:eastAsia="Calibri" w:hAnsi="Calibri" w:cs="Calibri"/>
                        <w:noProof/>
                        <w:color w:val="000000"/>
                        <w:sz w:val="20"/>
                        <w:szCs w:val="20"/>
                      </w:rPr>
                    </w:pPr>
                    <w:r w:rsidRPr="00A43D60">
                      <w:rPr>
                        <w:rFonts w:ascii="Calibri" w:eastAsia="Calibri" w:hAnsi="Calibri" w:cs="Calibri"/>
                        <w:noProof/>
                        <w:color w:val="000000"/>
                        <w:sz w:val="20"/>
                        <w:szCs w:val="20"/>
                      </w:rPr>
                      <w:t>Protected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84DAB96"/>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7CA4DD6"/>
    <w:multiLevelType w:val="multilevel"/>
    <w:tmpl w:val="3B2A161C"/>
    <w:lvl w:ilvl="0">
      <w:start w:val="1"/>
      <w:numFmt w:val="decimal"/>
      <w:lvlText w:val="%1."/>
      <w:lvlJc w:val="left"/>
      <w:pPr>
        <w:ind w:left="360" w:hanging="360"/>
      </w:pPr>
      <w:rPr>
        <w:rFonts w:hint="default"/>
        <w:b/>
        <w:bCs/>
        <w:color w:val="000000"/>
      </w:rPr>
    </w:lvl>
    <w:lvl w:ilvl="1">
      <w:start w:val="1"/>
      <w:numFmt w:val="decimal"/>
      <w:lvlText w:val="%1.%2."/>
      <w:lvlJc w:val="left"/>
      <w:pPr>
        <w:ind w:left="1080" w:hanging="720"/>
      </w:pPr>
      <w:rPr>
        <w:rFonts w:hint="default"/>
        <w:b/>
        <w:bCs/>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2160" w:hanging="108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3240" w:hanging="144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4320" w:hanging="1800"/>
      </w:pPr>
      <w:rPr>
        <w:rFonts w:hint="default"/>
        <w:color w:val="000000"/>
      </w:rPr>
    </w:lvl>
    <w:lvl w:ilvl="8">
      <w:start w:val="1"/>
      <w:numFmt w:val="decimal"/>
      <w:lvlText w:val="%1.%2.%3.%4.%5.%6.%7.%8.%9."/>
      <w:lvlJc w:val="left"/>
      <w:pPr>
        <w:ind w:left="4680" w:hanging="1800"/>
      </w:pPr>
      <w:rPr>
        <w:rFonts w:hint="default"/>
        <w:color w:val="000000"/>
      </w:rPr>
    </w:lvl>
  </w:abstractNum>
  <w:abstractNum w:abstractNumId="2" w15:restartNumberingAfterBreak="0">
    <w:nsid w:val="268B6D49"/>
    <w:multiLevelType w:val="multilevel"/>
    <w:tmpl w:val="E526A0A2"/>
    <w:lvl w:ilvl="0">
      <w:start w:val="1"/>
      <w:numFmt w:val="decimal"/>
      <w:lvlText w:val="%1."/>
      <w:lvlJc w:val="left"/>
      <w:pPr>
        <w:ind w:left="720" w:hanging="360"/>
      </w:pPr>
    </w:lvl>
    <w:lvl w:ilvl="1">
      <w:start w:val="1"/>
      <w:numFmt w:val="lowerRoman"/>
      <w:lvlText w:val="%2."/>
      <w:lvlJc w:val="right"/>
      <w:pPr>
        <w:ind w:left="720" w:hanging="360"/>
      </w:p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800" w:hanging="144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2160" w:hanging="180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3" w15:restartNumberingAfterBreak="0">
    <w:nsid w:val="2C8B19EC"/>
    <w:multiLevelType w:val="hybridMultilevel"/>
    <w:tmpl w:val="640A53D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583E92"/>
    <w:multiLevelType w:val="multilevel"/>
    <w:tmpl w:val="0B423512"/>
    <w:lvl w:ilvl="0">
      <w:start w:val="1"/>
      <w:numFmt w:val="decimal"/>
      <w:lvlText w:val="%1."/>
      <w:lvlJc w:val="left"/>
      <w:pPr>
        <w:ind w:left="360" w:hanging="360"/>
      </w:pPr>
      <w:rPr>
        <w:rFonts w:hint="default"/>
        <w:b/>
        <w:bCs/>
        <w:color w:val="000000"/>
      </w:rPr>
    </w:lvl>
    <w:lvl w:ilvl="1">
      <w:start w:val="1"/>
      <w:numFmt w:val="decimal"/>
      <w:lvlText w:val="%1.%2."/>
      <w:lvlJc w:val="left"/>
      <w:pPr>
        <w:ind w:left="1080" w:hanging="720"/>
      </w:pPr>
      <w:rPr>
        <w:rFonts w:hint="default"/>
        <w:b/>
        <w:bCs/>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2160" w:hanging="108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3240" w:hanging="144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4320" w:hanging="1800"/>
      </w:pPr>
      <w:rPr>
        <w:rFonts w:hint="default"/>
        <w:color w:val="000000"/>
      </w:rPr>
    </w:lvl>
    <w:lvl w:ilvl="8">
      <w:start w:val="1"/>
      <w:numFmt w:val="decimal"/>
      <w:lvlText w:val="%1.%2.%3.%4.%5.%6.%7.%8.%9."/>
      <w:lvlJc w:val="left"/>
      <w:pPr>
        <w:ind w:left="4680" w:hanging="1800"/>
      </w:pPr>
      <w:rPr>
        <w:rFonts w:hint="default"/>
        <w:color w:val="000000"/>
      </w:rPr>
    </w:lvl>
  </w:abstractNum>
  <w:abstractNum w:abstractNumId="5" w15:restartNumberingAfterBreak="0">
    <w:nsid w:val="39246BD8"/>
    <w:multiLevelType w:val="multilevel"/>
    <w:tmpl w:val="0366BC06"/>
    <w:lvl w:ilvl="0">
      <w:start w:val="13"/>
      <w:numFmt w:val="decimal"/>
      <w:lvlText w:val="%1"/>
      <w:lvlJc w:val="left"/>
      <w:pPr>
        <w:ind w:left="490" w:hanging="490"/>
      </w:pPr>
      <w:rPr>
        <w:rFonts w:hint="default"/>
        <w:b/>
      </w:rPr>
    </w:lvl>
    <w:lvl w:ilvl="1">
      <w:start w:val="1"/>
      <w:numFmt w:val="decimal"/>
      <w:lvlText w:val="%1.%2"/>
      <w:lvlJc w:val="left"/>
      <w:pPr>
        <w:ind w:left="490" w:hanging="4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6" w15:restartNumberingAfterBreak="0">
    <w:nsid w:val="3CDE4D06"/>
    <w:multiLevelType w:val="hybridMultilevel"/>
    <w:tmpl w:val="4252AD4A"/>
    <w:lvl w:ilvl="0" w:tplc="A708608A">
      <w:start w:val="1"/>
      <w:numFmt w:val="decimal"/>
      <w:lvlText w:val="%1."/>
      <w:lvlJc w:val="right"/>
      <w:pPr>
        <w:ind w:left="920" w:hanging="360"/>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7" w15:restartNumberingAfterBreak="0">
    <w:nsid w:val="55271300"/>
    <w:multiLevelType w:val="multilevel"/>
    <w:tmpl w:val="A7BA0E98"/>
    <w:lvl w:ilvl="0">
      <w:start w:val="1"/>
      <w:numFmt w:val="decimal"/>
      <w:lvlText w:val="%1."/>
      <w:lvlJc w:val="left"/>
      <w:pPr>
        <w:ind w:left="720" w:hanging="360"/>
      </w:pPr>
    </w:lvl>
    <w:lvl w:ilvl="1">
      <w:start w:val="1"/>
      <w:numFmt w:val="decimal"/>
      <w:isLgl/>
      <w:lvlText w:val="%1.%2"/>
      <w:lvlJc w:val="left"/>
      <w:pPr>
        <w:ind w:left="720" w:hanging="360"/>
      </w:pPr>
      <w:rPr>
        <w:rFonts w:hint="default"/>
        <w:b/>
        <w:bCs/>
        <w:color w:val="000000"/>
      </w:rPr>
    </w:lvl>
    <w:lvl w:ilvl="2">
      <w:start w:val="1"/>
      <w:numFmt w:val="lowerRoman"/>
      <w:lvlText w:val="%3."/>
      <w:lvlJc w:val="right"/>
      <w:pPr>
        <w:ind w:left="720" w:hanging="360"/>
      </w:p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800" w:hanging="144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2160" w:hanging="180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8" w15:restartNumberingAfterBreak="0">
    <w:nsid w:val="59BB3497"/>
    <w:multiLevelType w:val="multilevel"/>
    <w:tmpl w:val="71426610"/>
    <w:lvl w:ilvl="0">
      <w:start w:val="1"/>
      <w:numFmt w:val="decimal"/>
      <w:lvlText w:val="%1."/>
      <w:lvlJc w:val="left"/>
      <w:pPr>
        <w:ind w:left="720" w:hanging="360"/>
      </w:pPr>
    </w:lvl>
    <w:lvl w:ilvl="1">
      <w:start w:val="1"/>
      <w:numFmt w:val="lowerRoman"/>
      <w:lvlText w:val="%2."/>
      <w:lvlJc w:val="right"/>
      <w:pPr>
        <w:ind w:left="1170" w:hanging="360"/>
      </w:pPr>
      <w:rPr>
        <w:rFonts w:hint="default"/>
        <w:b w:val="0"/>
        <w:bCs w:val="0"/>
        <w:i w:val="0"/>
        <w:iCs w:val="0"/>
        <w:color w:val="000000"/>
        <w:sz w:val="22"/>
        <w:szCs w:val="22"/>
      </w:rPr>
    </w:lvl>
    <w:lvl w:ilvl="2">
      <w:start w:val="1"/>
      <w:numFmt w:val="bullet"/>
      <w:lvlText w:val=""/>
      <w:lvlJc w:val="left"/>
      <w:pPr>
        <w:ind w:left="1080" w:hanging="720"/>
      </w:pPr>
      <w:rPr>
        <w:rFonts w:ascii="Wingdings" w:hAnsi="Wingding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9" w15:restartNumberingAfterBreak="0">
    <w:nsid w:val="78EE12D0"/>
    <w:multiLevelType w:val="hybridMultilevel"/>
    <w:tmpl w:val="5998B83C"/>
    <w:lvl w:ilvl="0" w:tplc="47A628F2">
      <w:numFmt w:val="bullet"/>
      <w:lvlText w:val="•"/>
      <w:lvlJc w:val="left"/>
      <w:pPr>
        <w:ind w:left="720" w:hanging="360"/>
      </w:pPr>
      <w:rPr>
        <w:rFonts w:ascii="Roboto Light" w:eastAsiaTheme="minorHAnsi" w:hAnsi="Roboto Light" w:cs="Roboto"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BC28B98"/>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772050405">
    <w:abstractNumId w:val="10"/>
  </w:num>
  <w:num w:numId="2" w16cid:durableId="176819107">
    <w:abstractNumId w:val="0"/>
  </w:num>
  <w:num w:numId="3" w16cid:durableId="1251087628">
    <w:abstractNumId w:val="3"/>
  </w:num>
  <w:num w:numId="4" w16cid:durableId="959797830">
    <w:abstractNumId w:val="4"/>
  </w:num>
  <w:num w:numId="5" w16cid:durableId="2114861443">
    <w:abstractNumId w:val="9"/>
  </w:num>
  <w:num w:numId="6" w16cid:durableId="275328194">
    <w:abstractNumId w:val="7"/>
  </w:num>
  <w:num w:numId="7" w16cid:durableId="1768455236">
    <w:abstractNumId w:val="2"/>
  </w:num>
  <w:num w:numId="8" w16cid:durableId="492068341">
    <w:abstractNumId w:val="8"/>
  </w:num>
  <w:num w:numId="9" w16cid:durableId="1144659046">
    <w:abstractNumId w:val="6"/>
  </w:num>
  <w:num w:numId="10" w16cid:durableId="1891191252">
    <w:abstractNumId w:val="1"/>
  </w:num>
  <w:num w:numId="11" w16cid:durableId="1964457968">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E0B"/>
    <w:rsid w:val="00001ED7"/>
    <w:rsid w:val="000034F6"/>
    <w:rsid w:val="00012090"/>
    <w:rsid w:val="0001515D"/>
    <w:rsid w:val="00020F77"/>
    <w:rsid w:val="00027FB8"/>
    <w:rsid w:val="0003191C"/>
    <w:rsid w:val="00052F44"/>
    <w:rsid w:val="000550D3"/>
    <w:rsid w:val="00063F43"/>
    <w:rsid w:val="00065708"/>
    <w:rsid w:val="00066629"/>
    <w:rsid w:val="00071671"/>
    <w:rsid w:val="00074941"/>
    <w:rsid w:val="00076E60"/>
    <w:rsid w:val="000771E6"/>
    <w:rsid w:val="00090B75"/>
    <w:rsid w:val="0009256C"/>
    <w:rsid w:val="00092E3B"/>
    <w:rsid w:val="0009773E"/>
    <w:rsid w:val="000A5491"/>
    <w:rsid w:val="000A5BD7"/>
    <w:rsid w:val="000A7750"/>
    <w:rsid w:val="000B176F"/>
    <w:rsid w:val="000B2B8E"/>
    <w:rsid w:val="000B33F6"/>
    <w:rsid w:val="000B52F7"/>
    <w:rsid w:val="000C164C"/>
    <w:rsid w:val="000C2F7D"/>
    <w:rsid w:val="000D1C0E"/>
    <w:rsid w:val="000D548A"/>
    <w:rsid w:val="000D7BF1"/>
    <w:rsid w:val="000E3B76"/>
    <w:rsid w:val="000F0DEF"/>
    <w:rsid w:val="000F149B"/>
    <w:rsid w:val="000F7693"/>
    <w:rsid w:val="00100DCB"/>
    <w:rsid w:val="001067D4"/>
    <w:rsid w:val="00111207"/>
    <w:rsid w:val="00112FAB"/>
    <w:rsid w:val="00113984"/>
    <w:rsid w:val="0012689F"/>
    <w:rsid w:val="00127266"/>
    <w:rsid w:val="00134DE7"/>
    <w:rsid w:val="001366A3"/>
    <w:rsid w:val="00142A1A"/>
    <w:rsid w:val="001527DD"/>
    <w:rsid w:val="001538F6"/>
    <w:rsid w:val="00155096"/>
    <w:rsid w:val="00156D24"/>
    <w:rsid w:val="00162AD8"/>
    <w:rsid w:val="001630F0"/>
    <w:rsid w:val="00164EDE"/>
    <w:rsid w:val="00173153"/>
    <w:rsid w:val="001736D2"/>
    <w:rsid w:val="001815C2"/>
    <w:rsid w:val="00184574"/>
    <w:rsid w:val="00192D6B"/>
    <w:rsid w:val="00193C27"/>
    <w:rsid w:val="00193D4D"/>
    <w:rsid w:val="001A1288"/>
    <w:rsid w:val="001A597F"/>
    <w:rsid w:val="001B1EDC"/>
    <w:rsid w:val="001B7F53"/>
    <w:rsid w:val="001C141A"/>
    <w:rsid w:val="001C1D59"/>
    <w:rsid w:val="001C62B1"/>
    <w:rsid w:val="001C7199"/>
    <w:rsid w:val="001D1999"/>
    <w:rsid w:val="001D4D52"/>
    <w:rsid w:val="001D5340"/>
    <w:rsid w:val="001E1C96"/>
    <w:rsid w:val="001E60FE"/>
    <w:rsid w:val="001F5FA9"/>
    <w:rsid w:val="001F618E"/>
    <w:rsid w:val="001F6CA5"/>
    <w:rsid w:val="00200E7C"/>
    <w:rsid w:val="002018EC"/>
    <w:rsid w:val="00204BDD"/>
    <w:rsid w:val="00215690"/>
    <w:rsid w:val="002170E8"/>
    <w:rsid w:val="00222717"/>
    <w:rsid w:val="00223046"/>
    <w:rsid w:val="00227480"/>
    <w:rsid w:val="00233D1A"/>
    <w:rsid w:val="00243936"/>
    <w:rsid w:val="00243A27"/>
    <w:rsid w:val="002509B9"/>
    <w:rsid w:val="002520A6"/>
    <w:rsid w:val="00253AA8"/>
    <w:rsid w:val="00256989"/>
    <w:rsid w:val="0026029C"/>
    <w:rsid w:val="00267005"/>
    <w:rsid w:val="00280389"/>
    <w:rsid w:val="002804E0"/>
    <w:rsid w:val="00281159"/>
    <w:rsid w:val="0028224B"/>
    <w:rsid w:val="00282686"/>
    <w:rsid w:val="002855F6"/>
    <w:rsid w:val="00291007"/>
    <w:rsid w:val="00291370"/>
    <w:rsid w:val="00291E86"/>
    <w:rsid w:val="002926EC"/>
    <w:rsid w:val="00295EC6"/>
    <w:rsid w:val="00297580"/>
    <w:rsid w:val="002A1AD4"/>
    <w:rsid w:val="002A3E07"/>
    <w:rsid w:val="002B3A24"/>
    <w:rsid w:val="002C24F6"/>
    <w:rsid w:val="002C2E8D"/>
    <w:rsid w:val="002F3B88"/>
    <w:rsid w:val="002F5B7F"/>
    <w:rsid w:val="003028F6"/>
    <w:rsid w:val="00306B67"/>
    <w:rsid w:val="00310861"/>
    <w:rsid w:val="00311DF7"/>
    <w:rsid w:val="0031547F"/>
    <w:rsid w:val="0031763F"/>
    <w:rsid w:val="00317713"/>
    <w:rsid w:val="00332C49"/>
    <w:rsid w:val="003423AD"/>
    <w:rsid w:val="00342902"/>
    <w:rsid w:val="00357E85"/>
    <w:rsid w:val="00361B98"/>
    <w:rsid w:val="00364B03"/>
    <w:rsid w:val="0036769A"/>
    <w:rsid w:val="00367700"/>
    <w:rsid w:val="00367D11"/>
    <w:rsid w:val="003770E1"/>
    <w:rsid w:val="003816C1"/>
    <w:rsid w:val="003848D8"/>
    <w:rsid w:val="003922FD"/>
    <w:rsid w:val="00393F57"/>
    <w:rsid w:val="003949DD"/>
    <w:rsid w:val="003A46D7"/>
    <w:rsid w:val="003A64CE"/>
    <w:rsid w:val="003B3E5E"/>
    <w:rsid w:val="003B6133"/>
    <w:rsid w:val="003E0BC4"/>
    <w:rsid w:val="003F1A98"/>
    <w:rsid w:val="003F7274"/>
    <w:rsid w:val="004001D3"/>
    <w:rsid w:val="00405B06"/>
    <w:rsid w:val="00412080"/>
    <w:rsid w:val="00413935"/>
    <w:rsid w:val="00415678"/>
    <w:rsid w:val="004156DB"/>
    <w:rsid w:val="00416067"/>
    <w:rsid w:val="0043196D"/>
    <w:rsid w:val="00433186"/>
    <w:rsid w:val="004359EB"/>
    <w:rsid w:val="00442B2B"/>
    <w:rsid w:val="00443865"/>
    <w:rsid w:val="00446E12"/>
    <w:rsid w:val="00446E86"/>
    <w:rsid w:val="00447C46"/>
    <w:rsid w:val="00450913"/>
    <w:rsid w:val="00457C80"/>
    <w:rsid w:val="00460640"/>
    <w:rsid w:val="004710E3"/>
    <w:rsid w:val="0048138A"/>
    <w:rsid w:val="00482C87"/>
    <w:rsid w:val="00493671"/>
    <w:rsid w:val="00495314"/>
    <w:rsid w:val="004B434B"/>
    <w:rsid w:val="004B7617"/>
    <w:rsid w:val="004C210C"/>
    <w:rsid w:val="004C2E13"/>
    <w:rsid w:val="004C4271"/>
    <w:rsid w:val="004D06FD"/>
    <w:rsid w:val="004D2C32"/>
    <w:rsid w:val="004D5DE2"/>
    <w:rsid w:val="004E310A"/>
    <w:rsid w:val="004E7671"/>
    <w:rsid w:val="004F6981"/>
    <w:rsid w:val="004F6A3B"/>
    <w:rsid w:val="00506C3B"/>
    <w:rsid w:val="00510147"/>
    <w:rsid w:val="005114D6"/>
    <w:rsid w:val="005118F1"/>
    <w:rsid w:val="005119BD"/>
    <w:rsid w:val="00513FCB"/>
    <w:rsid w:val="00520747"/>
    <w:rsid w:val="0052216F"/>
    <w:rsid w:val="005232D8"/>
    <w:rsid w:val="005252A2"/>
    <w:rsid w:val="00544012"/>
    <w:rsid w:val="00546696"/>
    <w:rsid w:val="00550BD1"/>
    <w:rsid w:val="00551369"/>
    <w:rsid w:val="00552077"/>
    <w:rsid w:val="00553F9C"/>
    <w:rsid w:val="005614D5"/>
    <w:rsid w:val="00562F1A"/>
    <w:rsid w:val="00564D38"/>
    <w:rsid w:val="005660B2"/>
    <w:rsid w:val="0056687B"/>
    <w:rsid w:val="0057572A"/>
    <w:rsid w:val="0057676C"/>
    <w:rsid w:val="005858D9"/>
    <w:rsid w:val="0058612B"/>
    <w:rsid w:val="005A10CE"/>
    <w:rsid w:val="005B0590"/>
    <w:rsid w:val="005B75A7"/>
    <w:rsid w:val="005C0D4D"/>
    <w:rsid w:val="005C1A0C"/>
    <w:rsid w:val="005C37EA"/>
    <w:rsid w:val="005C5DC5"/>
    <w:rsid w:val="005D211A"/>
    <w:rsid w:val="005D506E"/>
    <w:rsid w:val="005E0EC6"/>
    <w:rsid w:val="005E7456"/>
    <w:rsid w:val="005E752B"/>
    <w:rsid w:val="005F0CBB"/>
    <w:rsid w:val="005F1A26"/>
    <w:rsid w:val="005F20BC"/>
    <w:rsid w:val="005F4FCA"/>
    <w:rsid w:val="005F561A"/>
    <w:rsid w:val="005F7FCB"/>
    <w:rsid w:val="0060189B"/>
    <w:rsid w:val="00624881"/>
    <w:rsid w:val="00627709"/>
    <w:rsid w:val="00630682"/>
    <w:rsid w:val="006330C5"/>
    <w:rsid w:val="00633711"/>
    <w:rsid w:val="0063455F"/>
    <w:rsid w:val="00635B07"/>
    <w:rsid w:val="006363FD"/>
    <w:rsid w:val="00642828"/>
    <w:rsid w:val="0064469C"/>
    <w:rsid w:val="0066029C"/>
    <w:rsid w:val="00663163"/>
    <w:rsid w:val="006662EC"/>
    <w:rsid w:val="00670AB8"/>
    <w:rsid w:val="00670E44"/>
    <w:rsid w:val="00671A9E"/>
    <w:rsid w:val="006742BA"/>
    <w:rsid w:val="00675D79"/>
    <w:rsid w:val="00680EDD"/>
    <w:rsid w:val="00682C96"/>
    <w:rsid w:val="0069074B"/>
    <w:rsid w:val="00693C6C"/>
    <w:rsid w:val="006A2B09"/>
    <w:rsid w:val="006B1170"/>
    <w:rsid w:val="006B4D36"/>
    <w:rsid w:val="006B672C"/>
    <w:rsid w:val="006B6C0F"/>
    <w:rsid w:val="006C0881"/>
    <w:rsid w:val="006C7CC4"/>
    <w:rsid w:val="006D09E5"/>
    <w:rsid w:val="006D09F4"/>
    <w:rsid w:val="006D4945"/>
    <w:rsid w:val="006D7CD0"/>
    <w:rsid w:val="006E36B1"/>
    <w:rsid w:val="006E630A"/>
    <w:rsid w:val="006F06ED"/>
    <w:rsid w:val="006F103C"/>
    <w:rsid w:val="006F65CF"/>
    <w:rsid w:val="00701977"/>
    <w:rsid w:val="0070730E"/>
    <w:rsid w:val="00726216"/>
    <w:rsid w:val="0073460A"/>
    <w:rsid w:val="0074077C"/>
    <w:rsid w:val="00740C4B"/>
    <w:rsid w:val="00754BB0"/>
    <w:rsid w:val="00760620"/>
    <w:rsid w:val="00761C0B"/>
    <w:rsid w:val="00764416"/>
    <w:rsid w:val="007650E1"/>
    <w:rsid w:val="00775AE8"/>
    <w:rsid w:val="00776F00"/>
    <w:rsid w:val="007772F7"/>
    <w:rsid w:val="00787965"/>
    <w:rsid w:val="00791031"/>
    <w:rsid w:val="00792F26"/>
    <w:rsid w:val="007B6A39"/>
    <w:rsid w:val="007C5ED0"/>
    <w:rsid w:val="007D5935"/>
    <w:rsid w:val="007D78A4"/>
    <w:rsid w:val="007E03F4"/>
    <w:rsid w:val="007E5751"/>
    <w:rsid w:val="007F06CF"/>
    <w:rsid w:val="007F0D77"/>
    <w:rsid w:val="007F13D6"/>
    <w:rsid w:val="007F2A80"/>
    <w:rsid w:val="007F2E20"/>
    <w:rsid w:val="007F47D6"/>
    <w:rsid w:val="00801295"/>
    <w:rsid w:val="00807186"/>
    <w:rsid w:val="008110E8"/>
    <w:rsid w:val="00813579"/>
    <w:rsid w:val="00820D39"/>
    <w:rsid w:val="008252C8"/>
    <w:rsid w:val="00833FC2"/>
    <w:rsid w:val="008373E1"/>
    <w:rsid w:val="00841A8A"/>
    <w:rsid w:val="008540A2"/>
    <w:rsid w:val="00856A13"/>
    <w:rsid w:val="00866216"/>
    <w:rsid w:val="00867D92"/>
    <w:rsid w:val="00872AAD"/>
    <w:rsid w:val="00873DEE"/>
    <w:rsid w:val="00886DDD"/>
    <w:rsid w:val="00892293"/>
    <w:rsid w:val="00894869"/>
    <w:rsid w:val="00894B42"/>
    <w:rsid w:val="00896A82"/>
    <w:rsid w:val="0089794C"/>
    <w:rsid w:val="008A296B"/>
    <w:rsid w:val="008B1165"/>
    <w:rsid w:val="008B15FC"/>
    <w:rsid w:val="008B2BDF"/>
    <w:rsid w:val="008B6E54"/>
    <w:rsid w:val="008C4BAE"/>
    <w:rsid w:val="008C593F"/>
    <w:rsid w:val="008D308A"/>
    <w:rsid w:val="008D781D"/>
    <w:rsid w:val="008E247A"/>
    <w:rsid w:val="008E4A03"/>
    <w:rsid w:val="008F2C65"/>
    <w:rsid w:val="008F6912"/>
    <w:rsid w:val="008F6A4E"/>
    <w:rsid w:val="008F6F6F"/>
    <w:rsid w:val="008F7FE1"/>
    <w:rsid w:val="0090371C"/>
    <w:rsid w:val="009076BA"/>
    <w:rsid w:val="00920699"/>
    <w:rsid w:val="009233D0"/>
    <w:rsid w:val="00930E11"/>
    <w:rsid w:val="00935B1F"/>
    <w:rsid w:val="0093786B"/>
    <w:rsid w:val="009403B5"/>
    <w:rsid w:val="00940798"/>
    <w:rsid w:val="00957354"/>
    <w:rsid w:val="00961808"/>
    <w:rsid w:val="00961F06"/>
    <w:rsid w:val="00963147"/>
    <w:rsid w:val="0096461C"/>
    <w:rsid w:val="00966EC6"/>
    <w:rsid w:val="00967529"/>
    <w:rsid w:val="00970F9A"/>
    <w:rsid w:val="00971769"/>
    <w:rsid w:val="00973D8C"/>
    <w:rsid w:val="009741CD"/>
    <w:rsid w:val="009749C7"/>
    <w:rsid w:val="00977EDD"/>
    <w:rsid w:val="00982D46"/>
    <w:rsid w:val="00983CD5"/>
    <w:rsid w:val="00983F26"/>
    <w:rsid w:val="00987D0D"/>
    <w:rsid w:val="00990D2F"/>
    <w:rsid w:val="009942F4"/>
    <w:rsid w:val="009A10D2"/>
    <w:rsid w:val="009A1C4D"/>
    <w:rsid w:val="009B30B2"/>
    <w:rsid w:val="009C21B9"/>
    <w:rsid w:val="009D20B6"/>
    <w:rsid w:val="009D302B"/>
    <w:rsid w:val="009D47D1"/>
    <w:rsid w:val="009E7721"/>
    <w:rsid w:val="00A004DF"/>
    <w:rsid w:val="00A0379F"/>
    <w:rsid w:val="00A042C0"/>
    <w:rsid w:val="00A04AED"/>
    <w:rsid w:val="00A171B5"/>
    <w:rsid w:val="00A23950"/>
    <w:rsid w:val="00A32943"/>
    <w:rsid w:val="00A404F1"/>
    <w:rsid w:val="00A40B8D"/>
    <w:rsid w:val="00A4244B"/>
    <w:rsid w:val="00A42E96"/>
    <w:rsid w:val="00A43D60"/>
    <w:rsid w:val="00A456EF"/>
    <w:rsid w:val="00A46121"/>
    <w:rsid w:val="00A4647A"/>
    <w:rsid w:val="00A524C1"/>
    <w:rsid w:val="00A57D8F"/>
    <w:rsid w:val="00A615BE"/>
    <w:rsid w:val="00A6537F"/>
    <w:rsid w:val="00A715D6"/>
    <w:rsid w:val="00A742AD"/>
    <w:rsid w:val="00A84633"/>
    <w:rsid w:val="00A9140E"/>
    <w:rsid w:val="00AA30E0"/>
    <w:rsid w:val="00AA651B"/>
    <w:rsid w:val="00AA6B65"/>
    <w:rsid w:val="00AA6E9C"/>
    <w:rsid w:val="00AB536A"/>
    <w:rsid w:val="00AB6E0B"/>
    <w:rsid w:val="00AB7551"/>
    <w:rsid w:val="00AC3272"/>
    <w:rsid w:val="00AC552B"/>
    <w:rsid w:val="00AD0436"/>
    <w:rsid w:val="00AD4813"/>
    <w:rsid w:val="00AE099E"/>
    <w:rsid w:val="00AE0C9D"/>
    <w:rsid w:val="00AE1AB4"/>
    <w:rsid w:val="00AE1C1D"/>
    <w:rsid w:val="00AF1371"/>
    <w:rsid w:val="00AF2E91"/>
    <w:rsid w:val="00AF5F3F"/>
    <w:rsid w:val="00AF7BF7"/>
    <w:rsid w:val="00B016AE"/>
    <w:rsid w:val="00B07FFC"/>
    <w:rsid w:val="00B121A6"/>
    <w:rsid w:val="00B1351C"/>
    <w:rsid w:val="00B14231"/>
    <w:rsid w:val="00B15D5B"/>
    <w:rsid w:val="00B2386E"/>
    <w:rsid w:val="00B279CB"/>
    <w:rsid w:val="00B30AAF"/>
    <w:rsid w:val="00B315EA"/>
    <w:rsid w:val="00B3713E"/>
    <w:rsid w:val="00B413CA"/>
    <w:rsid w:val="00B46608"/>
    <w:rsid w:val="00B54CA1"/>
    <w:rsid w:val="00B61257"/>
    <w:rsid w:val="00B7276E"/>
    <w:rsid w:val="00B72D73"/>
    <w:rsid w:val="00B730E2"/>
    <w:rsid w:val="00B76C7D"/>
    <w:rsid w:val="00B81B6F"/>
    <w:rsid w:val="00B952A2"/>
    <w:rsid w:val="00B95967"/>
    <w:rsid w:val="00B97B6C"/>
    <w:rsid w:val="00BA2308"/>
    <w:rsid w:val="00BA66D5"/>
    <w:rsid w:val="00BB02F9"/>
    <w:rsid w:val="00BB1C36"/>
    <w:rsid w:val="00BB1CC8"/>
    <w:rsid w:val="00BB24FC"/>
    <w:rsid w:val="00BB39C9"/>
    <w:rsid w:val="00BC2E25"/>
    <w:rsid w:val="00BC4678"/>
    <w:rsid w:val="00BE72ED"/>
    <w:rsid w:val="00C12DF0"/>
    <w:rsid w:val="00C177CC"/>
    <w:rsid w:val="00C212E7"/>
    <w:rsid w:val="00C21FEF"/>
    <w:rsid w:val="00C25DE3"/>
    <w:rsid w:val="00C26653"/>
    <w:rsid w:val="00C26BD8"/>
    <w:rsid w:val="00C27C85"/>
    <w:rsid w:val="00C30C3C"/>
    <w:rsid w:val="00C321BF"/>
    <w:rsid w:val="00C37A43"/>
    <w:rsid w:val="00C37BAC"/>
    <w:rsid w:val="00C41461"/>
    <w:rsid w:val="00C42F86"/>
    <w:rsid w:val="00C45421"/>
    <w:rsid w:val="00C46139"/>
    <w:rsid w:val="00C46E44"/>
    <w:rsid w:val="00C47426"/>
    <w:rsid w:val="00C51929"/>
    <w:rsid w:val="00C5482E"/>
    <w:rsid w:val="00C5679B"/>
    <w:rsid w:val="00C56AA5"/>
    <w:rsid w:val="00C56F9F"/>
    <w:rsid w:val="00C70C21"/>
    <w:rsid w:val="00C72151"/>
    <w:rsid w:val="00C741E0"/>
    <w:rsid w:val="00C8151D"/>
    <w:rsid w:val="00C8696B"/>
    <w:rsid w:val="00C90170"/>
    <w:rsid w:val="00C90498"/>
    <w:rsid w:val="00C91B06"/>
    <w:rsid w:val="00C9380D"/>
    <w:rsid w:val="00CA0B1D"/>
    <w:rsid w:val="00CA336A"/>
    <w:rsid w:val="00CA6AFE"/>
    <w:rsid w:val="00CA6BB5"/>
    <w:rsid w:val="00CB42AE"/>
    <w:rsid w:val="00CB64A8"/>
    <w:rsid w:val="00CC2AFA"/>
    <w:rsid w:val="00CC78C4"/>
    <w:rsid w:val="00CD20DE"/>
    <w:rsid w:val="00CD601C"/>
    <w:rsid w:val="00D0195D"/>
    <w:rsid w:val="00D02801"/>
    <w:rsid w:val="00D04106"/>
    <w:rsid w:val="00D12BB4"/>
    <w:rsid w:val="00D12CE2"/>
    <w:rsid w:val="00D140DC"/>
    <w:rsid w:val="00D24C20"/>
    <w:rsid w:val="00D25427"/>
    <w:rsid w:val="00D25784"/>
    <w:rsid w:val="00D276A1"/>
    <w:rsid w:val="00D31F5D"/>
    <w:rsid w:val="00D31FC2"/>
    <w:rsid w:val="00D37B71"/>
    <w:rsid w:val="00D4356B"/>
    <w:rsid w:val="00D50932"/>
    <w:rsid w:val="00D5363A"/>
    <w:rsid w:val="00D61977"/>
    <w:rsid w:val="00D63E63"/>
    <w:rsid w:val="00D72454"/>
    <w:rsid w:val="00D75D10"/>
    <w:rsid w:val="00D84C02"/>
    <w:rsid w:val="00D97C22"/>
    <w:rsid w:val="00DA1BB0"/>
    <w:rsid w:val="00DA4F5E"/>
    <w:rsid w:val="00DB3904"/>
    <w:rsid w:val="00DC29B9"/>
    <w:rsid w:val="00DC4465"/>
    <w:rsid w:val="00DC7F36"/>
    <w:rsid w:val="00DD00D7"/>
    <w:rsid w:val="00DD30AA"/>
    <w:rsid w:val="00DE0E06"/>
    <w:rsid w:val="00DE4824"/>
    <w:rsid w:val="00DF6467"/>
    <w:rsid w:val="00DF778E"/>
    <w:rsid w:val="00E00BD6"/>
    <w:rsid w:val="00E02984"/>
    <w:rsid w:val="00E07D95"/>
    <w:rsid w:val="00E11574"/>
    <w:rsid w:val="00E13570"/>
    <w:rsid w:val="00E2071F"/>
    <w:rsid w:val="00E22934"/>
    <w:rsid w:val="00E256DD"/>
    <w:rsid w:val="00E30312"/>
    <w:rsid w:val="00E3165D"/>
    <w:rsid w:val="00E37CC2"/>
    <w:rsid w:val="00E40397"/>
    <w:rsid w:val="00E463A8"/>
    <w:rsid w:val="00E5039B"/>
    <w:rsid w:val="00E51111"/>
    <w:rsid w:val="00E5536B"/>
    <w:rsid w:val="00E66301"/>
    <w:rsid w:val="00E85772"/>
    <w:rsid w:val="00EA021F"/>
    <w:rsid w:val="00EA0E47"/>
    <w:rsid w:val="00EB1ACB"/>
    <w:rsid w:val="00EC12ED"/>
    <w:rsid w:val="00ED4913"/>
    <w:rsid w:val="00EE021E"/>
    <w:rsid w:val="00EE49B4"/>
    <w:rsid w:val="00F00DB2"/>
    <w:rsid w:val="00F06606"/>
    <w:rsid w:val="00F14868"/>
    <w:rsid w:val="00F149EC"/>
    <w:rsid w:val="00F169AA"/>
    <w:rsid w:val="00F17FD2"/>
    <w:rsid w:val="00F20B5E"/>
    <w:rsid w:val="00F21688"/>
    <w:rsid w:val="00F24271"/>
    <w:rsid w:val="00F31AC3"/>
    <w:rsid w:val="00F36455"/>
    <w:rsid w:val="00F37D1F"/>
    <w:rsid w:val="00F46076"/>
    <w:rsid w:val="00F508C2"/>
    <w:rsid w:val="00F5186C"/>
    <w:rsid w:val="00F53835"/>
    <w:rsid w:val="00F55E75"/>
    <w:rsid w:val="00F5632B"/>
    <w:rsid w:val="00F56714"/>
    <w:rsid w:val="00F6172D"/>
    <w:rsid w:val="00F736C6"/>
    <w:rsid w:val="00F808AF"/>
    <w:rsid w:val="00F87A55"/>
    <w:rsid w:val="00F90BB5"/>
    <w:rsid w:val="00F9168E"/>
    <w:rsid w:val="00F91C24"/>
    <w:rsid w:val="00F92043"/>
    <w:rsid w:val="00F95841"/>
    <w:rsid w:val="00FA337D"/>
    <w:rsid w:val="00FA4912"/>
    <w:rsid w:val="00FB07AA"/>
    <w:rsid w:val="00FB3BB7"/>
    <w:rsid w:val="00FB3EA5"/>
    <w:rsid w:val="00FC3D19"/>
    <w:rsid w:val="00FC3D95"/>
    <w:rsid w:val="00FD67EC"/>
    <w:rsid w:val="00FE35CE"/>
    <w:rsid w:val="00FE6514"/>
    <w:rsid w:val="00FF2628"/>
    <w:rsid w:val="00FF5F8B"/>
    <w:rsid w:val="00FF633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0D16F3"/>
  <w15:chartTrackingRefBased/>
  <w15:docId w15:val="{A09D421D-D96A-40DC-8EA5-CB3679056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B6E0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ListParagraph"/>
    <w:next w:val="Normal"/>
    <w:link w:val="Heading2Char"/>
    <w:uiPriority w:val="9"/>
    <w:unhideWhenUsed/>
    <w:qFormat/>
    <w:rsid w:val="00C47426"/>
    <w:pPr>
      <w:tabs>
        <w:tab w:val="left" w:pos="360"/>
      </w:tabs>
      <w:autoSpaceDE w:val="0"/>
      <w:autoSpaceDN w:val="0"/>
      <w:adjustRightInd w:val="0"/>
      <w:spacing w:after="120" w:line="240" w:lineRule="auto"/>
      <w:ind w:left="0"/>
      <w:contextualSpacing w:val="0"/>
      <w:jc w:val="both"/>
      <w:outlineLvl w:val="1"/>
    </w:pPr>
    <w:rPr>
      <w:rFonts w:ascii="Roboto Light" w:hAnsi="Roboto Light" w:cstheme="majorBidi"/>
      <w:b/>
      <w:bCs/>
      <w:smallCaps/>
      <w:kern w:val="0"/>
      <w14:ligatures w14:val="none"/>
    </w:rPr>
  </w:style>
  <w:style w:type="paragraph" w:styleId="Heading3">
    <w:name w:val="heading 3"/>
    <w:basedOn w:val="Normal"/>
    <w:next w:val="Normal"/>
    <w:link w:val="Heading3Char"/>
    <w:uiPriority w:val="9"/>
    <w:semiHidden/>
    <w:unhideWhenUsed/>
    <w:qFormat/>
    <w:rsid w:val="00AB6E0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B6E0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B6E0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B6E0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B6E0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B6E0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B6E0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6E0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C47426"/>
    <w:rPr>
      <w:rFonts w:ascii="Roboto Light" w:hAnsi="Roboto Light" w:cstheme="majorBidi"/>
      <w:b/>
      <w:bCs/>
      <w:smallCaps/>
      <w:kern w:val="0"/>
      <w14:ligatures w14:val="none"/>
    </w:rPr>
  </w:style>
  <w:style w:type="character" w:customStyle="1" w:styleId="Heading3Char">
    <w:name w:val="Heading 3 Char"/>
    <w:basedOn w:val="DefaultParagraphFont"/>
    <w:link w:val="Heading3"/>
    <w:uiPriority w:val="9"/>
    <w:semiHidden/>
    <w:rsid w:val="00AB6E0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B6E0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B6E0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B6E0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B6E0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B6E0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B6E0B"/>
    <w:rPr>
      <w:rFonts w:eastAsiaTheme="majorEastAsia" w:cstheme="majorBidi"/>
      <w:color w:val="272727" w:themeColor="text1" w:themeTint="D8"/>
    </w:rPr>
  </w:style>
  <w:style w:type="paragraph" w:styleId="Title">
    <w:name w:val="Title"/>
    <w:basedOn w:val="Normal"/>
    <w:next w:val="Normal"/>
    <w:link w:val="TitleChar"/>
    <w:uiPriority w:val="10"/>
    <w:qFormat/>
    <w:rsid w:val="00AB6E0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B6E0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B6E0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B6E0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B6E0B"/>
    <w:pPr>
      <w:spacing w:before="160"/>
      <w:jc w:val="center"/>
    </w:pPr>
    <w:rPr>
      <w:i/>
      <w:iCs/>
      <w:color w:val="404040" w:themeColor="text1" w:themeTint="BF"/>
    </w:rPr>
  </w:style>
  <w:style w:type="character" w:customStyle="1" w:styleId="QuoteChar">
    <w:name w:val="Quote Char"/>
    <w:basedOn w:val="DefaultParagraphFont"/>
    <w:link w:val="Quote"/>
    <w:uiPriority w:val="29"/>
    <w:rsid w:val="00AB6E0B"/>
    <w:rPr>
      <w:i/>
      <w:iCs/>
      <w:color w:val="404040" w:themeColor="text1" w:themeTint="BF"/>
    </w:rPr>
  </w:style>
  <w:style w:type="paragraph" w:styleId="ListParagraph">
    <w:name w:val="List Paragraph"/>
    <w:aliases w:val="References,List Paragraph2,sub-procedure,List Paragraph (numbered (a)),Dot pt,F5 List Paragraph,Colorful List - Accent 11,No Spacing1,List Paragraph Char Char Char,Indicator Text,Numbered Para 1,Bullet 1,Text,Citation List,Body,3,Bullets"/>
    <w:basedOn w:val="Normal"/>
    <w:link w:val="ListParagraphChar"/>
    <w:uiPriority w:val="34"/>
    <w:qFormat/>
    <w:rsid w:val="00AB6E0B"/>
    <w:pPr>
      <w:ind w:left="720"/>
      <w:contextualSpacing/>
    </w:pPr>
  </w:style>
  <w:style w:type="character" w:styleId="IntenseEmphasis">
    <w:name w:val="Intense Emphasis"/>
    <w:basedOn w:val="DefaultParagraphFont"/>
    <w:uiPriority w:val="21"/>
    <w:qFormat/>
    <w:rsid w:val="00AB6E0B"/>
    <w:rPr>
      <w:i/>
      <w:iCs/>
      <w:color w:val="0F4761" w:themeColor="accent1" w:themeShade="BF"/>
    </w:rPr>
  </w:style>
  <w:style w:type="paragraph" w:styleId="IntenseQuote">
    <w:name w:val="Intense Quote"/>
    <w:basedOn w:val="Normal"/>
    <w:next w:val="Normal"/>
    <w:link w:val="IntenseQuoteChar"/>
    <w:uiPriority w:val="30"/>
    <w:qFormat/>
    <w:rsid w:val="00AB6E0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B6E0B"/>
    <w:rPr>
      <w:i/>
      <w:iCs/>
      <w:color w:val="0F4761" w:themeColor="accent1" w:themeShade="BF"/>
    </w:rPr>
  </w:style>
  <w:style w:type="character" w:styleId="IntenseReference">
    <w:name w:val="Intense Reference"/>
    <w:basedOn w:val="DefaultParagraphFont"/>
    <w:uiPriority w:val="32"/>
    <w:qFormat/>
    <w:rsid w:val="00AB6E0B"/>
    <w:rPr>
      <w:b/>
      <w:bCs/>
      <w:smallCaps/>
      <w:color w:val="0F4761" w:themeColor="accent1" w:themeShade="BF"/>
      <w:spacing w:val="5"/>
    </w:rPr>
  </w:style>
  <w:style w:type="paragraph" w:styleId="Header">
    <w:name w:val="header"/>
    <w:basedOn w:val="Normal"/>
    <w:link w:val="HeaderChar"/>
    <w:uiPriority w:val="99"/>
    <w:unhideWhenUsed/>
    <w:rsid w:val="00A43D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3D60"/>
  </w:style>
  <w:style w:type="paragraph" w:customStyle="1" w:styleId="Default">
    <w:name w:val="Default"/>
    <w:rsid w:val="00627709"/>
    <w:pPr>
      <w:autoSpaceDE w:val="0"/>
      <w:autoSpaceDN w:val="0"/>
      <w:adjustRightInd w:val="0"/>
      <w:spacing w:after="0" w:line="240" w:lineRule="auto"/>
    </w:pPr>
    <w:rPr>
      <w:rFonts w:ascii="Roboto" w:hAnsi="Roboto" w:cs="Roboto"/>
      <w:color w:val="000000"/>
      <w:kern w:val="0"/>
    </w:rPr>
  </w:style>
  <w:style w:type="paragraph" w:styleId="Footer">
    <w:name w:val="footer"/>
    <w:basedOn w:val="Normal"/>
    <w:link w:val="FooterChar"/>
    <w:uiPriority w:val="99"/>
    <w:unhideWhenUsed/>
    <w:rsid w:val="00E857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5772"/>
  </w:style>
  <w:style w:type="paragraph" w:styleId="FootnoteText">
    <w:name w:val="footnote text"/>
    <w:basedOn w:val="Normal"/>
    <w:link w:val="FootnoteTextChar"/>
    <w:uiPriority w:val="99"/>
    <w:semiHidden/>
    <w:unhideWhenUsed/>
    <w:rsid w:val="006B4D3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B4D36"/>
    <w:rPr>
      <w:sz w:val="20"/>
      <w:szCs w:val="20"/>
    </w:rPr>
  </w:style>
  <w:style w:type="character" w:styleId="FootnoteReference">
    <w:name w:val="footnote reference"/>
    <w:basedOn w:val="DefaultParagraphFont"/>
    <w:uiPriority w:val="99"/>
    <w:semiHidden/>
    <w:unhideWhenUsed/>
    <w:rsid w:val="006B4D36"/>
    <w:rPr>
      <w:vertAlign w:val="superscript"/>
    </w:rPr>
  </w:style>
  <w:style w:type="table" w:styleId="TableGrid">
    <w:name w:val="Table Grid"/>
    <w:basedOn w:val="TableNormal"/>
    <w:uiPriority w:val="39"/>
    <w:rsid w:val="00B952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Accent1">
    <w:name w:val="Grid Table 5 Dark Accent 1"/>
    <w:basedOn w:val="TableNormal"/>
    <w:uiPriority w:val="50"/>
    <w:rsid w:val="00233D1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E4F5"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5608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5608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5608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56082" w:themeFill="accent1"/>
      </w:tcPr>
    </w:tblStylePr>
    <w:tblStylePr w:type="band1Vert">
      <w:tblPr/>
      <w:tcPr>
        <w:shd w:val="clear" w:color="auto" w:fill="83CAEB" w:themeFill="accent1" w:themeFillTint="66"/>
      </w:tcPr>
    </w:tblStylePr>
    <w:tblStylePr w:type="band1Horz">
      <w:tblPr/>
      <w:tcPr>
        <w:shd w:val="clear" w:color="auto" w:fill="83CAEB" w:themeFill="accent1" w:themeFillTint="66"/>
      </w:tcPr>
    </w:tblStylePr>
  </w:style>
  <w:style w:type="table" w:styleId="GridTable5Dark-Accent4">
    <w:name w:val="Grid Table 5 Dark Accent 4"/>
    <w:basedOn w:val="TableNormal"/>
    <w:uiPriority w:val="50"/>
    <w:rsid w:val="00C46E4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AEDFB"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F9ED5"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F9ED5"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F9ED5"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F9ED5" w:themeFill="accent4"/>
      </w:tcPr>
    </w:tblStylePr>
    <w:tblStylePr w:type="band1Vert">
      <w:tblPr/>
      <w:tcPr>
        <w:shd w:val="clear" w:color="auto" w:fill="95DCF7" w:themeFill="accent4" w:themeFillTint="66"/>
      </w:tcPr>
    </w:tblStylePr>
    <w:tblStylePr w:type="band1Horz">
      <w:tblPr/>
      <w:tcPr>
        <w:shd w:val="clear" w:color="auto" w:fill="95DCF7" w:themeFill="accent4" w:themeFillTint="66"/>
      </w:tcPr>
    </w:tblStylePr>
  </w:style>
  <w:style w:type="table" w:styleId="TableGridLight">
    <w:name w:val="Grid Table Light"/>
    <w:basedOn w:val="TableNormal"/>
    <w:uiPriority w:val="40"/>
    <w:rsid w:val="00EE49B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Caption">
    <w:name w:val="caption"/>
    <w:basedOn w:val="Normal"/>
    <w:next w:val="Normal"/>
    <w:uiPriority w:val="35"/>
    <w:unhideWhenUsed/>
    <w:qFormat/>
    <w:rsid w:val="00EE49B4"/>
    <w:pPr>
      <w:spacing w:after="200" w:line="240" w:lineRule="auto"/>
    </w:pPr>
    <w:rPr>
      <w:i/>
      <w:iCs/>
      <w:color w:val="0E2841" w:themeColor="text2"/>
      <w:sz w:val="18"/>
      <w:szCs w:val="18"/>
    </w:rPr>
  </w:style>
  <w:style w:type="table" w:styleId="PlainTable1">
    <w:name w:val="Plain Table 1"/>
    <w:basedOn w:val="TableNormal"/>
    <w:uiPriority w:val="41"/>
    <w:rsid w:val="00EE49B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ListParagraphChar">
    <w:name w:val="List Paragraph Char"/>
    <w:aliases w:val="References Char,List Paragraph2 Char,sub-procedure Char,List Paragraph (numbered (a)) Char,Dot pt Char,F5 List Paragraph Char,Colorful List - Accent 11 Char,No Spacing1 Char,List Paragraph Char Char Char Char,Indicator Text Char"/>
    <w:link w:val="ListParagraph"/>
    <w:uiPriority w:val="34"/>
    <w:qFormat/>
    <w:rsid w:val="001815C2"/>
  </w:style>
  <w:style w:type="paragraph" w:styleId="TOCHeading">
    <w:name w:val="TOC Heading"/>
    <w:basedOn w:val="Heading1"/>
    <w:next w:val="Normal"/>
    <w:uiPriority w:val="39"/>
    <w:unhideWhenUsed/>
    <w:qFormat/>
    <w:rsid w:val="005F20BC"/>
    <w:pPr>
      <w:spacing w:before="240" w:after="0" w:line="259" w:lineRule="auto"/>
      <w:outlineLvl w:val="9"/>
    </w:pPr>
    <w:rPr>
      <w:kern w:val="0"/>
      <w:sz w:val="32"/>
      <w:szCs w:val="32"/>
      <w14:ligatures w14:val="none"/>
    </w:rPr>
  </w:style>
  <w:style w:type="paragraph" w:styleId="TOC2">
    <w:name w:val="toc 2"/>
    <w:basedOn w:val="Normal"/>
    <w:next w:val="Normal"/>
    <w:autoRedefine/>
    <w:uiPriority w:val="39"/>
    <w:unhideWhenUsed/>
    <w:rsid w:val="005F20BC"/>
    <w:pPr>
      <w:spacing w:after="100"/>
      <w:ind w:left="240"/>
    </w:pPr>
  </w:style>
  <w:style w:type="character" w:styleId="Hyperlink">
    <w:name w:val="Hyperlink"/>
    <w:basedOn w:val="DefaultParagraphFont"/>
    <w:uiPriority w:val="99"/>
    <w:unhideWhenUsed/>
    <w:rsid w:val="005F20BC"/>
    <w:rPr>
      <w:color w:val="467886" w:themeColor="hyperlink"/>
      <w:u w:val="single"/>
    </w:rPr>
  </w:style>
  <w:style w:type="paragraph" w:styleId="NormalWeb">
    <w:name w:val="Normal (Web)"/>
    <w:basedOn w:val="Normal"/>
    <w:uiPriority w:val="99"/>
    <w:semiHidden/>
    <w:unhideWhenUsed/>
    <w:rsid w:val="005E7456"/>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5E7456"/>
    <w:rPr>
      <w:b/>
      <w:bCs/>
    </w:rPr>
  </w:style>
  <w:style w:type="paragraph" w:styleId="Revision">
    <w:name w:val="Revision"/>
    <w:hidden/>
    <w:uiPriority w:val="99"/>
    <w:semiHidden/>
    <w:rsid w:val="007772F7"/>
    <w:pPr>
      <w:spacing w:after="0" w:line="240" w:lineRule="auto"/>
    </w:pPr>
  </w:style>
  <w:style w:type="character" w:styleId="CommentReference">
    <w:name w:val="annotation reference"/>
    <w:basedOn w:val="DefaultParagraphFont"/>
    <w:uiPriority w:val="99"/>
    <w:semiHidden/>
    <w:unhideWhenUsed/>
    <w:rsid w:val="00DC29B9"/>
    <w:rPr>
      <w:sz w:val="16"/>
      <w:szCs w:val="16"/>
    </w:rPr>
  </w:style>
  <w:style w:type="paragraph" w:styleId="CommentText">
    <w:name w:val="annotation text"/>
    <w:basedOn w:val="Normal"/>
    <w:link w:val="CommentTextChar"/>
    <w:uiPriority w:val="99"/>
    <w:unhideWhenUsed/>
    <w:rsid w:val="00DC29B9"/>
    <w:pPr>
      <w:spacing w:line="240" w:lineRule="auto"/>
    </w:pPr>
    <w:rPr>
      <w:sz w:val="20"/>
      <w:szCs w:val="20"/>
    </w:rPr>
  </w:style>
  <w:style w:type="character" w:customStyle="1" w:styleId="CommentTextChar">
    <w:name w:val="Comment Text Char"/>
    <w:basedOn w:val="DefaultParagraphFont"/>
    <w:link w:val="CommentText"/>
    <w:uiPriority w:val="99"/>
    <w:rsid w:val="00DC29B9"/>
    <w:rPr>
      <w:sz w:val="20"/>
      <w:szCs w:val="20"/>
    </w:rPr>
  </w:style>
  <w:style w:type="paragraph" w:styleId="CommentSubject">
    <w:name w:val="annotation subject"/>
    <w:basedOn w:val="CommentText"/>
    <w:next w:val="CommentText"/>
    <w:link w:val="CommentSubjectChar"/>
    <w:uiPriority w:val="99"/>
    <w:semiHidden/>
    <w:unhideWhenUsed/>
    <w:rsid w:val="00DC29B9"/>
    <w:rPr>
      <w:b/>
      <w:bCs/>
    </w:rPr>
  </w:style>
  <w:style w:type="character" w:customStyle="1" w:styleId="CommentSubjectChar">
    <w:name w:val="Comment Subject Char"/>
    <w:basedOn w:val="CommentTextChar"/>
    <w:link w:val="CommentSubject"/>
    <w:uiPriority w:val="99"/>
    <w:semiHidden/>
    <w:rsid w:val="00DC29B9"/>
    <w:rPr>
      <w:b/>
      <w:bCs/>
      <w:sz w:val="20"/>
      <w:szCs w:val="20"/>
    </w:rPr>
  </w:style>
  <w:style w:type="character" w:styleId="UnresolvedMention">
    <w:name w:val="Unresolved Mention"/>
    <w:basedOn w:val="DefaultParagraphFont"/>
    <w:uiPriority w:val="99"/>
    <w:semiHidden/>
    <w:unhideWhenUsed/>
    <w:rsid w:val="00EA02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258149">
      <w:marLeft w:val="0"/>
      <w:marRight w:val="0"/>
      <w:marTop w:val="0"/>
      <w:marBottom w:val="0"/>
      <w:divBdr>
        <w:top w:val="none" w:sz="0" w:space="0" w:color="auto"/>
        <w:left w:val="none" w:sz="0" w:space="0" w:color="auto"/>
        <w:bottom w:val="none" w:sz="0" w:space="0" w:color="auto"/>
        <w:right w:val="none" w:sz="0" w:space="0" w:color="auto"/>
      </w:divBdr>
    </w:div>
    <w:div w:id="171343347">
      <w:bodyDiv w:val="1"/>
      <w:marLeft w:val="0"/>
      <w:marRight w:val="0"/>
      <w:marTop w:val="0"/>
      <w:marBottom w:val="0"/>
      <w:divBdr>
        <w:top w:val="none" w:sz="0" w:space="0" w:color="auto"/>
        <w:left w:val="none" w:sz="0" w:space="0" w:color="auto"/>
        <w:bottom w:val="none" w:sz="0" w:space="0" w:color="auto"/>
        <w:right w:val="none" w:sz="0" w:space="0" w:color="auto"/>
      </w:divBdr>
    </w:div>
    <w:div w:id="430903465">
      <w:bodyDiv w:val="1"/>
      <w:marLeft w:val="0"/>
      <w:marRight w:val="0"/>
      <w:marTop w:val="0"/>
      <w:marBottom w:val="0"/>
      <w:divBdr>
        <w:top w:val="none" w:sz="0" w:space="0" w:color="auto"/>
        <w:left w:val="none" w:sz="0" w:space="0" w:color="auto"/>
        <w:bottom w:val="none" w:sz="0" w:space="0" w:color="auto"/>
        <w:right w:val="none" w:sz="0" w:space="0" w:color="auto"/>
      </w:divBdr>
    </w:div>
    <w:div w:id="848451026">
      <w:bodyDiv w:val="1"/>
      <w:marLeft w:val="0"/>
      <w:marRight w:val="0"/>
      <w:marTop w:val="0"/>
      <w:marBottom w:val="0"/>
      <w:divBdr>
        <w:top w:val="none" w:sz="0" w:space="0" w:color="auto"/>
        <w:left w:val="none" w:sz="0" w:space="0" w:color="auto"/>
        <w:bottom w:val="none" w:sz="0" w:space="0" w:color="auto"/>
        <w:right w:val="none" w:sz="0" w:space="0" w:color="auto"/>
      </w:divBdr>
    </w:div>
    <w:div w:id="979842806">
      <w:marLeft w:val="0"/>
      <w:marRight w:val="0"/>
      <w:marTop w:val="0"/>
      <w:marBottom w:val="0"/>
      <w:divBdr>
        <w:top w:val="none" w:sz="0" w:space="0" w:color="auto"/>
        <w:left w:val="none" w:sz="0" w:space="0" w:color="auto"/>
        <w:bottom w:val="none" w:sz="0" w:space="0" w:color="auto"/>
        <w:right w:val="none" w:sz="0" w:space="0" w:color="auto"/>
      </w:divBdr>
    </w:div>
    <w:div w:id="1248617665">
      <w:bodyDiv w:val="1"/>
      <w:marLeft w:val="0"/>
      <w:marRight w:val="0"/>
      <w:marTop w:val="0"/>
      <w:marBottom w:val="0"/>
      <w:divBdr>
        <w:top w:val="none" w:sz="0" w:space="0" w:color="auto"/>
        <w:left w:val="none" w:sz="0" w:space="0" w:color="auto"/>
        <w:bottom w:val="none" w:sz="0" w:space="0" w:color="auto"/>
        <w:right w:val="none" w:sz="0" w:space="0" w:color="auto"/>
      </w:divBdr>
    </w:div>
    <w:div w:id="1387604877">
      <w:bodyDiv w:val="1"/>
      <w:marLeft w:val="0"/>
      <w:marRight w:val="0"/>
      <w:marTop w:val="0"/>
      <w:marBottom w:val="0"/>
      <w:divBdr>
        <w:top w:val="none" w:sz="0" w:space="0" w:color="auto"/>
        <w:left w:val="none" w:sz="0" w:space="0" w:color="auto"/>
        <w:bottom w:val="none" w:sz="0" w:space="0" w:color="auto"/>
        <w:right w:val="none" w:sz="0" w:space="0" w:color="auto"/>
      </w:divBdr>
    </w:div>
    <w:div w:id="1407611574">
      <w:bodyDiv w:val="1"/>
      <w:marLeft w:val="0"/>
      <w:marRight w:val="0"/>
      <w:marTop w:val="0"/>
      <w:marBottom w:val="0"/>
      <w:divBdr>
        <w:top w:val="none" w:sz="0" w:space="0" w:color="auto"/>
        <w:left w:val="none" w:sz="0" w:space="0" w:color="auto"/>
        <w:bottom w:val="none" w:sz="0" w:space="0" w:color="auto"/>
        <w:right w:val="none" w:sz="0" w:space="0" w:color="auto"/>
      </w:divBdr>
    </w:div>
    <w:div w:id="150231323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704895cc.isdb.org@emea.teams.m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704895cc.isdb.org@emea.teams.m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eader" Target="header2.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Sheet1!$A$3</c:f>
              <c:strCache>
                <c:ptCount val="1"/>
                <c:pt idx="0">
                  <c:v>Cumulative Approvals by Sector (US$ millions)</c:v>
                </c:pt>
              </c:strCache>
            </c:strRef>
          </c:tx>
          <c:spPr>
            <a:pattFill prst="narHorz">
              <a:fgClr>
                <a:schemeClr val="accent1"/>
              </a:fgClr>
              <a:bgClr>
                <a:schemeClr val="accent1">
                  <a:lumMod val="20000"/>
                  <a:lumOff val="80000"/>
                </a:schemeClr>
              </a:bgClr>
            </a:pattFill>
            <a:ln>
              <a:noFill/>
            </a:ln>
            <a:effectLst>
              <a:innerShdw blurRad="114300">
                <a:schemeClr val="accent1"/>
              </a:innerShdw>
            </a:effectLst>
          </c:spPr>
          <c:invertIfNegative val="0"/>
          <c:dLbls>
            <c:dLbl>
              <c:idx val="0"/>
              <c:layout>
                <c:manualLayout>
                  <c:x val="0"/>
                  <c:y val="-1.4708039543837551E-2"/>
                </c:manualLayout>
              </c:layout>
              <c:spPr>
                <a:solidFill>
                  <a:schemeClr val="lt1"/>
                </a:solidFill>
                <a:ln>
                  <a:solidFill>
                    <a:schemeClr val="dk1">
                      <a:lumMod val="25000"/>
                      <a:lumOff val="75000"/>
                    </a:schemeClr>
                  </a:solidFill>
                </a:ln>
                <a:effectLst/>
              </c:spPr>
              <c:txPr>
                <a:bodyPr rot="0" spcFirstLastPara="1" vertOverflow="clip" horzOverflow="clip" vert="horz" wrap="square" lIns="36576" tIns="18288" rIns="36576" bIns="18288" anchor="ctr" anchorCtr="1">
                  <a:spAutoFit/>
                </a:bodyPr>
                <a:lstStyle/>
                <a:p>
                  <a:pPr>
                    <a:defRPr sz="900" b="1" i="0" u="none" strike="noStrike" kern="1200" baseline="0">
                      <a:solidFill>
                        <a:sysClr val="windowText" lastClr="000000"/>
                      </a:solidFill>
                      <a:latin typeface="Roboto" panose="02000000000000000000" pitchFamily="2" charset="0"/>
                      <a:ea typeface="Roboto" panose="02000000000000000000" pitchFamily="2" charset="0"/>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a:noFill/>
                    <a:ln>
                      <a:noFill/>
                    </a:ln>
                  </c15:spPr>
                </c:ext>
                <c:ext xmlns:c16="http://schemas.microsoft.com/office/drawing/2014/chart" uri="{C3380CC4-5D6E-409C-BE32-E72D297353CC}">
                  <c16:uniqueId val="{00000009-221E-40C8-8507-8D50B1574B02}"/>
                </c:ext>
              </c:extLst>
            </c:dLbl>
            <c:dLbl>
              <c:idx val="1"/>
              <c:layout>
                <c:manualLayout>
                  <c:x val="0"/>
                  <c:y val="-2.8475586893101819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221E-40C8-8507-8D50B1574B02}"/>
                </c:ext>
              </c:extLst>
            </c:dLbl>
            <c:dLbl>
              <c:idx val="2"/>
              <c:layout>
                <c:manualLayout>
                  <c:x val="-3.9173336640061513E-17"/>
                  <c:y val="-4.8315911730546302E-3"/>
                </c:manualLayout>
              </c:layout>
              <c:spPr>
                <a:solidFill>
                  <a:schemeClr val="lt1"/>
                </a:solidFill>
                <a:ln>
                  <a:solidFill>
                    <a:schemeClr val="dk1">
                      <a:lumMod val="25000"/>
                      <a:lumOff val="75000"/>
                    </a:schemeClr>
                  </a:solidFill>
                </a:ln>
                <a:effectLst/>
              </c:spPr>
              <c:txPr>
                <a:bodyPr rot="0" spcFirstLastPara="1" vertOverflow="clip" horzOverflow="clip" vert="horz" wrap="square" lIns="36576" tIns="18288" rIns="36576" bIns="18288" anchor="ctr" anchorCtr="1">
                  <a:spAutoFit/>
                </a:bodyPr>
                <a:lstStyle/>
                <a:p>
                  <a:pPr>
                    <a:defRPr sz="900" b="1" i="0" u="none" strike="noStrike" kern="1200" baseline="0">
                      <a:solidFill>
                        <a:sysClr val="windowText" lastClr="000000"/>
                      </a:solidFill>
                      <a:latin typeface="Roboto" panose="02000000000000000000" pitchFamily="2" charset="0"/>
                      <a:ea typeface="Roboto" panose="02000000000000000000" pitchFamily="2" charset="0"/>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a:noFill/>
                    <a:ln>
                      <a:noFill/>
                    </a:ln>
                  </c15:spPr>
                </c:ext>
                <c:ext xmlns:c16="http://schemas.microsoft.com/office/drawing/2014/chart" uri="{C3380CC4-5D6E-409C-BE32-E72D297353CC}">
                  <c16:uniqueId val="{00000006-221E-40C8-8507-8D50B1574B02}"/>
                </c:ext>
              </c:extLst>
            </c:dLbl>
            <c:dLbl>
              <c:idx val="3"/>
              <c:layout>
                <c:manualLayout>
                  <c:x val="-7.8346673280123027E-17"/>
                  <c:y val="-2.2266363046082698E-2"/>
                </c:manualLayout>
              </c:layout>
              <c:spPr>
                <a:solidFill>
                  <a:schemeClr val="lt1"/>
                </a:solidFill>
                <a:ln>
                  <a:solidFill>
                    <a:schemeClr val="dk1">
                      <a:lumMod val="25000"/>
                      <a:lumOff val="75000"/>
                    </a:schemeClr>
                  </a:solidFill>
                </a:ln>
                <a:effectLst/>
              </c:spPr>
              <c:txPr>
                <a:bodyPr rot="0" spcFirstLastPara="1" vertOverflow="clip" horzOverflow="clip" vert="horz" wrap="square" lIns="36576" tIns="18288" rIns="36576" bIns="18288" anchor="ctr" anchorCtr="1">
                  <a:spAutoFit/>
                </a:bodyPr>
                <a:lstStyle/>
                <a:p>
                  <a:pPr>
                    <a:defRPr sz="900" b="1" i="0" u="none" strike="noStrike" kern="1200" baseline="0">
                      <a:solidFill>
                        <a:sysClr val="windowText" lastClr="000000"/>
                      </a:solidFill>
                      <a:latin typeface="Roboto" panose="02000000000000000000" pitchFamily="2" charset="0"/>
                      <a:ea typeface="Roboto" panose="02000000000000000000" pitchFamily="2" charset="0"/>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a:noFill/>
                    <a:ln>
                      <a:noFill/>
                    </a:ln>
                  </c15:spPr>
                </c:ext>
                <c:ext xmlns:c16="http://schemas.microsoft.com/office/drawing/2014/chart" uri="{C3380CC4-5D6E-409C-BE32-E72D297353CC}">
                  <c16:uniqueId val="{00000007-221E-40C8-8507-8D50B1574B02}"/>
                </c:ext>
              </c:extLst>
            </c:dLbl>
            <c:dLbl>
              <c:idx val="4"/>
              <c:layout>
                <c:manualLayout>
                  <c:x val="-7.8346673280123027E-17"/>
                  <c:y val="-2.9716407400294517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221E-40C8-8507-8D50B1574B02}"/>
                </c:ext>
              </c:extLst>
            </c:dLbl>
            <c:dLbl>
              <c:idx val="5"/>
              <c:layout>
                <c:manualLayout>
                  <c:x val="-2.136752136752215E-3"/>
                  <c:y val="-3.5762846717331064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221E-40C8-8507-8D50B1574B02}"/>
                </c:ext>
              </c:extLst>
            </c:dLbl>
            <c:dLbl>
              <c:idx val="6"/>
              <c:layout>
                <c:manualLayout>
                  <c:x val="0"/>
                  <c:y val="-2.6177215652921858E-3"/>
                </c:manualLayout>
              </c:layout>
              <c:spPr>
                <a:solidFill>
                  <a:schemeClr val="lt1"/>
                </a:solidFill>
                <a:ln>
                  <a:solidFill>
                    <a:schemeClr val="dk1">
                      <a:lumMod val="25000"/>
                      <a:lumOff val="75000"/>
                    </a:schemeClr>
                  </a:solidFill>
                </a:ln>
                <a:effectLst/>
              </c:spPr>
              <c:txPr>
                <a:bodyPr rot="0" spcFirstLastPara="1" vertOverflow="clip" horzOverflow="clip" vert="horz" wrap="square" lIns="36576" tIns="18288" rIns="36576" bIns="18288" anchor="ctr" anchorCtr="1">
                  <a:spAutoFit/>
                </a:bodyPr>
                <a:lstStyle/>
                <a:p>
                  <a:pPr>
                    <a:defRPr sz="900" b="1" i="0" u="none" strike="noStrike" kern="1200" baseline="0">
                      <a:solidFill>
                        <a:sysClr val="windowText" lastClr="000000"/>
                      </a:solidFill>
                      <a:latin typeface="Roboto" panose="02000000000000000000" pitchFamily="2" charset="0"/>
                      <a:ea typeface="Roboto" panose="02000000000000000000" pitchFamily="2" charset="0"/>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a:noFill/>
                    <a:ln>
                      <a:noFill/>
                    </a:ln>
                  </c15:spPr>
                </c:ext>
                <c:ext xmlns:c16="http://schemas.microsoft.com/office/drawing/2014/chart" uri="{C3380CC4-5D6E-409C-BE32-E72D297353CC}">
                  <c16:uniqueId val="{0000000B-221E-40C8-8507-8D50B1574B02}"/>
                </c:ext>
              </c:extLst>
            </c:dLbl>
            <c:dLbl>
              <c:idx val="7"/>
              <c:layout>
                <c:manualLayout>
                  <c:x val="0"/>
                  <c:y val="-2.1133090071058232E-2"/>
                </c:manualLayout>
              </c:layout>
              <c:spPr>
                <a:solidFill>
                  <a:schemeClr val="lt1"/>
                </a:solidFill>
                <a:ln>
                  <a:solidFill>
                    <a:schemeClr val="dk1">
                      <a:lumMod val="25000"/>
                      <a:lumOff val="75000"/>
                    </a:schemeClr>
                  </a:solidFill>
                </a:ln>
                <a:effectLst/>
              </c:spPr>
              <c:txPr>
                <a:bodyPr rot="0" spcFirstLastPara="1" vertOverflow="clip" horzOverflow="clip" vert="horz" wrap="square" lIns="36576" tIns="18288" rIns="36576" bIns="18288" anchor="ctr" anchorCtr="1">
                  <a:spAutoFit/>
                </a:bodyPr>
                <a:lstStyle/>
                <a:p>
                  <a:pPr>
                    <a:defRPr sz="900" b="1" i="0" u="none" strike="noStrike" kern="1200" baseline="0">
                      <a:solidFill>
                        <a:sysClr val="windowText" lastClr="000000"/>
                      </a:solidFill>
                      <a:latin typeface="Roboto" panose="02000000000000000000" pitchFamily="2" charset="0"/>
                      <a:ea typeface="Roboto" panose="02000000000000000000" pitchFamily="2" charset="0"/>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a:noFill/>
                    <a:ln>
                      <a:noFill/>
                    </a:ln>
                  </c15:spPr>
                </c:ext>
                <c:ext xmlns:c16="http://schemas.microsoft.com/office/drawing/2014/chart" uri="{C3380CC4-5D6E-409C-BE32-E72D297353CC}">
                  <c16:uniqueId val="{0000000C-221E-40C8-8507-8D50B1574B02}"/>
                </c:ext>
              </c:extLst>
            </c:dLbl>
            <c:dLbl>
              <c:idx val="8"/>
              <c:layout>
                <c:manualLayout>
                  <c:x val="0"/>
                  <c:y val="-2.9823589124530165E-2"/>
                </c:manualLayout>
              </c:layout>
              <c:spPr>
                <a:solidFill>
                  <a:schemeClr val="lt1"/>
                </a:solidFill>
                <a:ln>
                  <a:solidFill>
                    <a:schemeClr val="dk1">
                      <a:lumMod val="25000"/>
                      <a:lumOff val="75000"/>
                    </a:schemeClr>
                  </a:solidFill>
                </a:ln>
                <a:effectLst/>
              </c:spPr>
              <c:txPr>
                <a:bodyPr rot="0" spcFirstLastPara="1" vertOverflow="clip" horzOverflow="clip" vert="horz" wrap="square" lIns="36576" tIns="18288" rIns="36576" bIns="18288" anchor="ctr" anchorCtr="1">
                  <a:spAutoFit/>
                </a:bodyPr>
                <a:lstStyle/>
                <a:p>
                  <a:pPr>
                    <a:defRPr sz="900" b="1" i="0" u="none" strike="noStrike" kern="1200" baseline="0">
                      <a:solidFill>
                        <a:sysClr val="windowText" lastClr="000000"/>
                      </a:solidFill>
                      <a:latin typeface="Roboto" panose="02000000000000000000" pitchFamily="2" charset="0"/>
                      <a:ea typeface="Roboto" panose="02000000000000000000" pitchFamily="2" charset="0"/>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a:noFill/>
                    <a:ln>
                      <a:noFill/>
                    </a:ln>
                  </c15:spPr>
                </c:ext>
                <c:ext xmlns:c16="http://schemas.microsoft.com/office/drawing/2014/chart" uri="{C3380CC4-5D6E-409C-BE32-E72D297353CC}">
                  <c16:uniqueId val="{0000000E-221E-40C8-8507-8D50B1574B02}"/>
                </c:ext>
              </c:extLst>
            </c:dLbl>
            <c:spPr>
              <a:solidFill>
                <a:schemeClr val="lt1"/>
              </a:solidFill>
              <a:ln>
                <a:solidFill>
                  <a:schemeClr val="dk1">
                    <a:lumMod val="25000"/>
                    <a:lumOff val="75000"/>
                  </a:schemeClr>
                </a:solidFill>
              </a:ln>
              <a:effectLst/>
            </c:spPr>
            <c:txPr>
              <a:bodyPr rot="0" spcFirstLastPara="1" vertOverflow="clip" horzOverflow="clip" vert="horz" wrap="square" lIns="36576" tIns="18288" rIns="36576" bIns="18288" anchor="ctr" anchorCtr="1">
                <a:spAutoFit/>
              </a:bodyPr>
              <a:lstStyle/>
              <a:p>
                <a:pPr>
                  <a:defRPr sz="900" b="0" i="0" u="none" strike="noStrike" kern="1200" baseline="0">
                    <a:solidFill>
                      <a:sysClr val="windowText" lastClr="000000"/>
                    </a:solidFill>
                    <a:latin typeface="Roboto" panose="02000000000000000000" pitchFamily="2" charset="0"/>
                    <a:ea typeface="Roboto" panose="02000000000000000000" pitchFamily="2" charset="0"/>
                    <a:cs typeface="+mn-cs"/>
                  </a:defRPr>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a:noFill/>
                  <a:ln>
                    <a:noFill/>
                  </a:ln>
                </c15:spPr>
                <c15:showLeaderLines val="1"/>
                <c15:leaderLines>
                  <c:spPr>
                    <a:ln w="9525">
                      <a:solidFill>
                        <a:schemeClr val="tx1">
                          <a:lumMod val="35000"/>
                          <a:lumOff val="65000"/>
                        </a:schemeClr>
                      </a:solidFill>
                    </a:ln>
                    <a:effectLst/>
                  </c:spPr>
                </c15:leaderLines>
              </c:ext>
            </c:extLst>
          </c:dLbls>
          <c:cat>
            <c:strRef>
              <c:f>Sheet1!$B$2:$J$2</c:f>
              <c:strCache>
                <c:ptCount val="9"/>
                <c:pt idx="0">
                  <c:v>Agriculture</c:v>
                </c:pt>
                <c:pt idx="1">
                  <c:v>Education</c:v>
                </c:pt>
                <c:pt idx="2">
                  <c:v>Energy</c:v>
                </c:pt>
                <c:pt idx="3">
                  <c:v>Health</c:v>
                </c:pt>
                <c:pt idx="4">
                  <c:v>Industry &amp; Mining</c:v>
                </c:pt>
                <c:pt idx="5">
                  <c:v>ICT</c:v>
                </c:pt>
                <c:pt idx="6">
                  <c:v>Transpor</c:v>
                </c:pt>
                <c:pt idx="7">
                  <c:v>Water, Sanitation &amp; Urban Services</c:v>
                </c:pt>
                <c:pt idx="8">
                  <c:v>Others</c:v>
                </c:pt>
              </c:strCache>
            </c:strRef>
          </c:cat>
          <c:val>
            <c:numRef>
              <c:f>Sheet1!$B$3:$J$3</c:f>
              <c:numCache>
                <c:formatCode>#,##0.0</c:formatCode>
                <c:ptCount val="9"/>
                <c:pt idx="0">
                  <c:v>9.26</c:v>
                </c:pt>
                <c:pt idx="1">
                  <c:v>4.45</c:v>
                </c:pt>
                <c:pt idx="2">
                  <c:v>15.13</c:v>
                </c:pt>
                <c:pt idx="3">
                  <c:v>6.4</c:v>
                </c:pt>
                <c:pt idx="4">
                  <c:v>3.2</c:v>
                </c:pt>
                <c:pt idx="5">
                  <c:v>0.74</c:v>
                </c:pt>
                <c:pt idx="6">
                  <c:v>15.9</c:v>
                </c:pt>
                <c:pt idx="7">
                  <c:v>7.13</c:v>
                </c:pt>
                <c:pt idx="8">
                  <c:v>2.68</c:v>
                </c:pt>
              </c:numCache>
            </c:numRef>
          </c:val>
          <c:extLst>
            <c:ext xmlns:c16="http://schemas.microsoft.com/office/drawing/2014/chart" uri="{C3380CC4-5D6E-409C-BE32-E72D297353CC}">
              <c16:uniqueId val="{00000000-B013-46F8-AADF-ECF44E03FFE4}"/>
            </c:ext>
          </c:extLst>
        </c:ser>
        <c:dLbls>
          <c:showLegendKey val="0"/>
          <c:showVal val="0"/>
          <c:showCatName val="0"/>
          <c:showSerName val="0"/>
          <c:showPercent val="0"/>
          <c:showBubbleSize val="0"/>
        </c:dLbls>
        <c:gapWidth val="247"/>
        <c:overlap val="-27"/>
        <c:axId val="1041431423"/>
        <c:axId val="1041431903"/>
      </c:barChart>
      <c:lineChart>
        <c:grouping val="standard"/>
        <c:varyColors val="0"/>
        <c:ser>
          <c:idx val="1"/>
          <c:order val="1"/>
          <c:tx>
            <c:strRef>
              <c:f>Sheet1!$A$4</c:f>
              <c:strCache>
                <c:ptCount val="1"/>
                <c:pt idx="0">
                  <c:v>Cumulative approvals by sector (%)</c:v>
                </c:pt>
              </c:strCache>
            </c:strRef>
          </c:tx>
          <c:spPr>
            <a:ln w="28575" cap="rnd">
              <a:solidFill>
                <a:schemeClr val="accent2"/>
              </a:solidFill>
              <a:round/>
            </a:ln>
            <a:effectLst/>
          </c:spPr>
          <c:marker>
            <c:symbol val="none"/>
          </c:marker>
          <c:dLbls>
            <c:spPr>
              <a:solidFill>
                <a:schemeClr val="lt1"/>
              </a:solidFill>
              <a:ln>
                <a:solidFill>
                  <a:schemeClr val="dk1">
                    <a:lumMod val="25000"/>
                    <a:lumOff val="75000"/>
                  </a:schemeClr>
                </a:solidFill>
              </a:ln>
              <a:effectLst/>
            </c:spPr>
            <c:txPr>
              <a:bodyPr rot="0" spcFirstLastPara="1" vertOverflow="clip" horzOverflow="clip" vert="horz" wrap="square" lIns="36576" tIns="18288" rIns="36576" bIns="18288" anchor="ctr" anchorCtr="1">
                <a:spAutoFit/>
              </a:bodyPr>
              <a:lstStyle/>
              <a:p>
                <a:pPr>
                  <a:defRPr sz="900" b="0" i="0" u="none" strike="noStrike" kern="1200" baseline="0">
                    <a:solidFill>
                      <a:sysClr val="windowText" lastClr="000000"/>
                    </a:solidFill>
                    <a:latin typeface="Roboto" panose="02000000000000000000" pitchFamily="2" charset="0"/>
                    <a:ea typeface="Roboto" panose="02000000000000000000" pitchFamily="2" charset="0"/>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ellipse">
                    <a:avLst/>
                  </a:prstGeom>
                  <a:noFill/>
                  <a:ln>
                    <a:noFill/>
                  </a:ln>
                </c15:spPr>
                <c15:showLeaderLines val="1"/>
                <c15:leaderLines>
                  <c:spPr>
                    <a:ln w="9525">
                      <a:solidFill>
                        <a:schemeClr val="tx1">
                          <a:lumMod val="35000"/>
                          <a:lumOff val="65000"/>
                        </a:schemeClr>
                      </a:solidFill>
                    </a:ln>
                    <a:effectLst/>
                  </c:spPr>
                </c15:leaderLines>
              </c:ext>
            </c:extLst>
          </c:dLbls>
          <c:cat>
            <c:strRef>
              <c:f>Sheet1!$B$2:$J$2</c:f>
              <c:strCache>
                <c:ptCount val="9"/>
                <c:pt idx="0">
                  <c:v>Agriculture</c:v>
                </c:pt>
                <c:pt idx="1">
                  <c:v>Education</c:v>
                </c:pt>
                <c:pt idx="2">
                  <c:v>Energy</c:v>
                </c:pt>
                <c:pt idx="3">
                  <c:v>Health</c:v>
                </c:pt>
                <c:pt idx="4">
                  <c:v>Industry &amp; Mining</c:v>
                </c:pt>
                <c:pt idx="5">
                  <c:v>ICT</c:v>
                </c:pt>
                <c:pt idx="6">
                  <c:v>Transpor</c:v>
                </c:pt>
                <c:pt idx="7">
                  <c:v>Water, Sanitation &amp; Urban Services</c:v>
                </c:pt>
                <c:pt idx="8">
                  <c:v>Others</c:v>
                </c:pt>
              </c:strCache>
            </c:strRef>
          </c:cat>
          <c:val>
            <c:numRef>
              <c:f>Sheet1!$B$4:$J$4</c:f>
              <c:numCache>
                <c:formatCode>0.0%</c:formatCode>
                <c:ptCount val="9"/>
                <c:pt idx="0">
                  <c:v>0.14263709180529882</c:v>
                </c:pt>
                <c:pt idx="1">
                  <c:v>6.8545902649414667E-2</c:v>
                </c:pt>
                <c:pt idx="2">
                  <c:v>0.23305606900800988</c:v>
                </c:pt>
                <c:pt idx="3">
                  <c:v>9.8582871226124469E-2</c:v>
                </c:pt>
                <c:pt idx="4">
                  <c:v>4.9291435613062234E-2</c:v>
                </c:pt>
                <c:pt idx="5">
                  <c:v>1.139864448552064E-2</c:v>
                </c:pt>
                <c:pt idx="6">
                  <c:v>0.24491682070240295</c:v>
                </c:pt>
                <c:pt idx="7">
                  <c:v>0.10982747997535428</c:v>
                </c:pt>
                <c:pt idx="8">
                  <c:v>4.1281577325939622E-2</c:v>
                </c:pt>
              </c:numCache>
            </c:numRef>
          </c:val>
          <c:smooth val="0"/>
          <c:extLst>
            <c:ext xmlns:c16="http://schemas.microsoft.com/office/drawing/2014/chart" uri="{C3380CC4-5D6E-409C-BE32-E72D297353CC}">
              <c16:uniqueId val="{00000001-B013-46F8-AADF-ECF44E03FFE4}"/>
            </c:ext>
          </c:extLst>
        </c:ser>
        <c:dLbls>
          <c:showLegendKey val="0"/>
          <c:showVal val="0"/>
          <c:showCatName val="0"/>
          <c:showSerName val="0"/>
          <c:showPercent val="0"/>
          <c:showBubbleSize val="0"/>
        </c:dLbls>
        <c:marker val="1"/>
        <c:smooth val="0"/>
        <c:axId val="1041374303"/>
        <c:axId val="1041434303"/>
      </c:lineChart>
      <c:catAx>
        <c:axId val="1041431423"/>
        <c:scaling>
          <c:orientation val="minMax"/>
        </c:scaling>
        <c:delete val="0"/>
        <c:axPos val="b"/>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Roboto" panose="02000000000000000000" pitchFamily="2" charset="0"/>
                <a:ea typeface="Roboto" panose="02000000000000000000" pitchFamily="2" charset="0"/>
                <a:cs typeface="+mn-cs"/>
              </a:defRPr>
            </a:pPr>
            <a:endParaRPr lang="en-US"/>
          </a:p>
        </c:txPr>
        <c:crossAx val="1041431903"/>
        <c:crosses val="autoZero"/>
        <c:auto val="1"/>
        <c:lblAlgn val="ctr"/>
        <c:lblOffset val="100"/>
        <c:noMultiLvlLbl val="0"/>
      </c:catAx>
      <c:valAx>
        <c:axId val="1041431903"/>
        <c:scaling>
          <c:orientation val="minMax"/>
        </c:scaling>
        <c:delete val="0"/>
        <c:axPos val="l"/>
        <c:majorGridlines>
          <c:spPr>
            <a:ln>
              <a:solidFill>
                <a:schemeClr val="tx1">
                  <a:lumMod val="15000"/>
                  <a:lumOff val="85000"/>
                </a:schemeClr>
              </a:solidFill>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Roboto" panose="02000000000000000000" pitchFamily="2" charset="0"/>
                <a:ea typeface="Roboto" panose="02000000000000000000" pitchFamily="2" charset="0"/>
                <a:cs typeface="+mn-cs"/>
              </a:defRPr>
            </a:pPr>
            <a:endParaRPr lang="en-US"/>
          </a:p>
        </c:txPr>
        <c:crossAx val="1041431423"/>
        <c:crosses val="autoZero"/>
        <c:crossBetween val="between"/>
      </c:valAx>
      <c:valAx>
        <c:axId val="1041434303"/>
        <c:scaling>
          <c:orientation val="minMax"/>
          <c:min val="0"/>
        </c:scaling>
        <c:delete val="0"/>
        <c:axPos val="r"/>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Roboto" panose="02000000000000000000" pitchFamily="2" charset="0"/>
                <a:ea typeface="Roboto" panose="02000000000000000000" pitchFamily="2" charset="0"/>
                <a:cs typeface="+mn-cs"/>
              </a:defRPr>
            </a:pPr>
            <a:endParaRPr lang="en-US"/>
          </a:p>
        </c:txPr>
        <c:crossAx val="1041374303"/>
        <c:crosses val="max"/>
        <c:crossBetween val="between"/>
      </c:valAx>
      <c:catAx>
        <c:axId val="1041374303"/>
        <c:scaling>
          <c:orientation val="minMax"/>
        </c:scaling>
        <c:delete val="1"/>
        <c:axPos val="b"/>
        <c:numFmt formatCode="General" sourceLinked="1"/>
        <c:majorTickMark val="none"/>
        <c:minorTickMark val="none"/>
        <c:tickLblPos val="nextTo"/>
        <c:crossAx val="1041434303"/>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Roboto" panose="02000000000000000000" pitchFamily="2" charset="0"/>
              <a:ea typeface="Roboto" panose="02000000000000000000" pitchFamily="2" charset="0"/>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Roboto" panose="02000000000000000000" pitchFamily="2" charset="0"/>
          <a:ea typeface="Roboto" panose="02000000000000000000" pitchFamily="2"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E1F0-4E3B-AF0A-CA6F97706B67}"/>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E1F0-4E3B-AF0A-CA6F97706B67}"/>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E1F0-4E3B-AF0A-CA6F97706B67}"/>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E1F0-4E3B-AF0A-CA6F97706B67}"/>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E1F0-4E3B-AF0A-CA6F97706B67}"/>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E1F0-4E3B-AF0A-CA6F97706B67}"/>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E1F0-4E3B-AF0A-CA6F97706B67}"/>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F-E1F0-4E3B-AF0A-CA6F97706B67}"/>
              </c:ext>
            </c:extLst>
          </c:dPt>
          <c:dPt>
            <c:idx val="8"/>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11-E1F0-4E3B-AF0A-CA6F97706B67}"/>
              </c:ext>
            </c:extLst>
          </c:dPt>
          <c:dPt>
            <c:idx val="9"/>
            <c:bubble3D val="0"/>
            <c:spPr>
              <a:solidFill>
                <a:schemeClr val="accent4">
                  <a:lumMod val="60000"/>
                </a:schemeClr>
              </a:solidFill>
              <a:ln w="19050">
                <a:solidFill>
                  <a:schemeClr val="lt1"/>
                </a:solidFill>
              </a:ln>
              <a:effectLst/>
            </c:spPr>
            <c:extLst>
              <c:ext xmlns:c16="http://schemas.microsoft.com/office/drawing/2014/chart" uri="{C3380CC4-5D6E-409C-BE32-E72D297353CC}">
                <c16:uniqueId val="{00000013-E1F0-4E3B-AF0A-CA6F97706B67}"/>
              </c:ext>
            </c:extLst>
          </c:dPt>
          <c:dPt>
            <c:idx val="10"/>
            <c:bubble3D val="0"/>
            <c:spPr>
              <a:solidFill>
                <a:schemeClr val="accent5">
                  <a:lumMod val="60000"/>
                </a:schemeClr>
              </a:solidFill>
              <a:ln w="19050">
                <a:solidFill>
                  <a:schemeClr val="lt1"/>
                </a:solidFill>
              </a:ln>
              <a:effectLst/>
            </c:spPr>
            <c:extLst>
              <c:ext xmlns:c16="http://schemas.microsoft.com/office/drawing/2014/chart" uri="{C3380CC4-5D6E-409C-BE32-E72D297353CC}">
                <c16:uniqueId val="{00000015-E1F0-4E3B-AF0A-CA6F97706B67}"/>
              </c:ext>
            </c:extLst>
          </c:dPt>
          <c:dPt>
            <c:idx val="11"/>
            <c:bubble3D val="0"/>
            <c:spPr>
              <a:solidFill>
                <a:schemeClr val="accent6">
                  <a:lumMod val="60000"/>
                </a:schemeClr>
              </a:solidFill>
              <a:ln w="19050">
                <a:solidFill>
                  <a:schemeClr val="lt1"/>
                </a:solidFill>
              </a:ln>
              <a:effectLst/>
            </c:spPr>
            <c:extLst>
              <c:ext xmlns:c16="http://schemas.microsoft.com/office/drawing/2014/chart" uri="{C3380CC4-5D6E-409C-BE32-E72D297353CC}">
                <c16:uniqueId val="{00000017-E1F0-4E3B-AF0A-CA6F97706B67}"/>
              </c:ext>
            </c:extLst>
          </c:dPt>
          <c:dLbls>
            <c:dLbl>
              <c:idx val="0"/>
              <c:layout>
                <c:manualLayout>
                  <c:x val="-0.15"/>
                  <c:y val="0"/>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E1F0-4E3B-AF0A-CA6F97706B67}"/>
                </c:ext>
              </c:extLst>
            </c:dLbl>
            <c:dLbl>
              <c:idx val="1"/>
              <c:layout>
                <c:manualLayout>
                  <c:x val="8.3333333333333329E-2"/>
                  <c:y val="0"/>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E1F0-4E3B-AF0A-CA6F97706B67}"/>
                </c:ext>
              </c:extLst>
            </c:dLbl>
            <c:dLbl>
              <c:idx val="2"/>
              <c:layout>
                <c:manualLayout>
                  <c:x val="0.1999999999999999"/>
                  <c:y val="6.4814814814814811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E1F0-4E3B-AF0A-CA6F97706B67}"/>
                </c:ext>
              </c:extLst>
            </c:dLbl>
            <c:dLbl>
              <c:idx val="3"/>
              <c:layout>
                <c:manualLayout>
                  <c:x val="0.1388888888888889"/>
                  <c:y val="0.16203703703703703"/>
                </c:manualLayout>
              </c:layout>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ysClr val="windowText" lastClr="000000"/>
                      </a:solidFill>
                      <a:latin typeface="Roboto" panose="02000000000000000000" pitchFamily="2" charset="0"/>
                      <a:ea typeface="Roboto" panose="02000000000000000000" pitchFamily="2" charset="0"/>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gd name="adj1" fmla="val -137913"/>
                        <a:gd name="adj2" fmla="val -24087"/>
                      </a:avLst>
                    </a:prstGeom>
                    <a:noFill/>
                    <a:ln>
                      <a:noFill/>
                    </a:ln>
                  </c15:spPr>
                </c:ext>
                <c:ext xmlns:c16="http://schemas.microsoft.com/office/drawing/2014/chart" uri="{C3380CC4-5D6E-409C-BE32-E72D297353CC}">
                  <c16:uniqueId val="{00000007-E1F0-4E3B-AF0A-CA6F97706B67}"/>
                </c:ext>
              </c:extLst>
            </c:dLbl>
            <c:dLbl>
              <c:idx val="4"/>
              <c:layout>
                <c:manualLayout>
                  <c:x val="3.0555555555555555E-2"/>
                  <c:y val="0.25"/>
                </c:manualLayout>
              </c:layout>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ysClr val="windowText" lastClr="000000"/>
                      </a:solidFill>
                      <a:latin typeface="Roboto" panose="02000000000000000000" pitchFamily="2" charset="0"/>
                      <a:ea typeface="Roboto" panose="02000000000000000000" pitchFamily="2" charset="0"/>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gd name="adj1" fmla="val -82297"/>
                        <a:gd name="adj2" fmla="val -150664"/>
                      </a:avLst>
                    </a:prstGeom>
                    <a:noFill/>
                    <a:ln>
                      <a:noFill/>
                    </a:ln>
                  </c15:spPr>
                </c:ext>
                <c:ext xmlns:c16="http://schemas.microsoft.com/office/drawing/2014/chart" uri="{C3380CC4-5D6E-409C-BE32-E72D297353CC}">
                  <c16:uniqueId val="{00000009-E1F0-4E3B-AF0A-CA6F97706B67}"/>
                </c:ext>
              </c:extLst>
            </c:dLbl>
            <c:dLbl>
              <c:idx val="8"/>
              <c:layout>
                <c:manualLayout>
                  <c:x val="-7.7777777777777807E-2"/>
                  <c:y val="-2.3148148148148147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1-E1F0-4E3B-AF0A-CA6F97706B67}"/>
                </c:ext>
              </c:extLst>
            </c:dLbl>
            <c:dLbl>
              <c:idx val="9"/>
              <c:layout>
                <c:manualLayout>
                  <c:x val="-3.0555555555555568E-2"/>
                  <c:y val="0.15740740740740741"/>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3-E1F0-4E3B-AF0A-CA6F97706B67}"/>
                </c:ext>
              </c:extLst>
            </c:dLbl>
            <c:dLbl>
              <c:idx val="10"/>
              <c:layout>
                <c:manualLayout>
                  <c:x val="-0.24027777777777778"/>
                  <c:y val="0.25925925925925924"/>
                </c:manualLayout>
              </c:layout>
              <c:dLblPos val="bestFit"/>
              <c:showLegendKey val="0"/>
              <c:showVal val="0"/>
              <c:showCatName val="1"/>
              <c:showSerName val="0"/>
              <c:showPercent val="1"/>
              <c:showBubbleSize val="0"/>
              <c:extLst>
                <c:ext xmlns:c15="http://schemas.microsoft.com/office/drawing/2012/chart" uri="{CE6537A1-D6FC-4f65-9D91-7224C49458BB}">
                  <c15:layout>
                    <c:manualLayout>
                      <c:w val="0.2018584864391951"/>
                      <c:h val="0.14345873432487605"/>
                    </c:manualLayout>
                  </c15:layout>
                </c:ext>
                <c:ext xmlns:c16="http://schemas.microsoft.com/office/drawing/2014/chart" uri="{C3380CC4-5D6E-409C-BE32-E72D297353CC}">
                  <c16:uniqueId val="{00000015-E1F0-4E3B-AF0A-CA6F97706B67}"/>
                </c:ext>
              </c:extLst>
            </c:dLbl>
            <c:dLbl>
              <c:idx val="11"/>
              <c:layout>
                <c:manualLayout>
                  <c:x val="-0.33333333333333331"/>
                  <c:y val="6.0185185185185182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7-E1F0-4E3B-AF0A-CA6F97706B67}"/>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ysClr val="windowText" lastClr="000000"/>
                    </a:solidFill>
                    <a:latin typeface="Roboto" panose="02000000000000000000" pitchFamily="2" charset="0"/>
                    <a:ea typeface="Roboto" panose="02000000000000000000" pitchFamily="2" charset="0"/>
                    <a:cs typeface="+mn-cs"/>
                  </a:defRPr>
                </a:pPr>
                <a:endParaRPr lang="en-US"/>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Sheet3!$A$2:$A$13</c:f>
              <c:strCache>
                <c:ptCount val="12"/>
                <c:pt idx="0">
                  <c:v>HQ- Jeddah</c:v>
                </c:pt>
                <c:pt idx="1">
                  <c:v>Non Member</c:v>
                </c:pt>
                <c:pt idx="2">
                  <c:v>RH - Kampala</c:v>
                </c:pt>
                <c:pt idx="3">
                  <c:v>RH - Abuja</c:v>
                </c:pt>
                <c:pt idx="4">
                  <c:v>RH - Almaty</c:v>
                </c:pt>
                <c:pt idx="5">
                  <c:v>RH - Ankara</c:v>
                </c:pt>
                <c:pt idx="6">
                  <c:v>RH - Cairo</c:v>
                </c:pt>
                <c:pt idx="7">
                  <c:v>RH - Dakar</c:v>
                </c:pt>
                <c:pt idx="8">
                  <c:v>RH - Dhaka</c:v>
                </c:pt>
                <c:pt idx="9">
                  <c:v>RH - Jakarta</c:v>
                </c:pt>
                <c:pt idx="10">
                  <c:v>RH - Paramaribo</c:v>
                </c:pt>
                <c:pt idx="11">
                  <c:v>RH - Rabat</c:v>
                </c:pt>
              </c:strCache>
            </c:strRef>
          </c:cat>
          <c:val>
            <c:numRef>
              <c:f>Sheet3!$B$2:$B$13</c:f>
              <c:numCache>
                <c:formatCode>#,##0</c:formatCode>
                <c:ptCount val="12"/>
                <c:pt idx="0">
                  <c:v>23.15</c:v>
                </c:pt>
                <c:pt idx="1">
                  <c:v>69.540000000000006</c:v>
                </c:pt>
                <c:pt idx="2">
                  <c:v>161.10999999999996</c:v>
                </c:pt>
                <c:pt idx="3">
                  <c:v>426.28999999999996</c:v>
                </c:pt>
                <c:pt idx="4">
                  <c:v>272.27999999999997</c:v>
                </c:pt>
                <c:pt idx="5">
                  <c:v>727.68999999999994</c:v>
                </c:pt>
                <c:pt idx="6">
                  <c:v>231.3</c:v>
                </c:pt>
                <c:pt idx="7">
                  <c:v>331.66999999999985</c:v>
                </c:pt>
                <c:pt idx="8">
                  <c:v>55.260000000000005</c:v>
                </c:pt>
                <c:pt idx="9">
                  <c:v>1333.4699999999998</c:v>
                </c:pt>
                <c:pt idx="10">
                  <c:v>2.2000000000000002</c:v>
                </c:pt>
                <c:pt idx="11">
                  <c:v>123.2</c:v>
                </c:pt>
              </c:numCache>
            </c:numRef>
          </c:val>
          <c:extLst>
            <c:ext xmlns:c16="http://schemas.microsoft.com/office/drawing/2014/chart" uri="{C3380CC4-5D6E-409C-BE32-E72D297353CC}">
              <c16:uniqueId val="{00000018-E1F0-4E3B-AF0A-CA6F97706B67}"/>
            </c:ext>
          </c:extLst>
        </c:ser>
        <c:dLbls>
          <c:showLegendKey val="0"/>
          <c:showVal val="0"/>
          <c:showCatName val="0"/>
          <c:showSerName val="0"/>
          <c:showPercent val="0"/>
          <c:showBubbleSize val="0"/>
          <c:showLeaderLines val="0"/>
        </c:dLbls>
        <c:firstSliceAng val="0"/>
      </c:pieChart>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23">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fillRef idx="0">
      <cs:styleClr val="auto"/>
    </cs:fillRef>
    <cs:effectRef idx="0"/>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cap="flat" cmpd="sng" algn="ctr">
        <a:solidFill>
          <a:schemeClr val="tx1">
            <a:lumMod val="65000"/>
            <a:lumOff val="35000"/>
          </a:schemeClr>
        </a:solidFill>
        <a:round/>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15875" cap="flat" cmpd="sng" algn="ctr">
        <a:solidFill>
          <a:schemeClr val="tx1">
            <a:lumMod val="65000"/>
            <a:lumOff val="3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8867A5-240E-402E-9D3A-C4B8E35FF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12</Pages>
  <Words>4231</Words>
  <Characters>24119</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28294</CharactersWithSpaces>
  <SharedDoc>false</SharedDoc>
  <HLinks>
    <vt:vector size="78" baseType="variant">
      <vt:variant>
        <vt:i4>1572925</vt:i4>
      </vt:variant>
      <vt:variant>
        <vt:i4>74</vt:i4>
      </vt:variant>
      <vt:variant>
        <vt:i4>0</vt:i4>
      </vt:variant>
      <vt:variant>
        <vt:i4>5</vt:i4>
      </vt:variant>
      <vt:variant>
        <vt:lpwstr/>
      </vt:variant>
      <vt:variant>
        <vt:lpwstr>_Toc203985436</vt:lpwstr>
      </vt:variant>
      <vt:variant>
        <vt:i4>1572925</vt:i4>
      </vt:variant>
      <vt:variant>
        <vt:i4>68</vt:i4>
      </vt:variant>
      <vt:variant>
        <vt:i4>0</vt:i4>
      </vt:variant>
      <vt:variant>
        <vt:i4>5</vt:i4>
      </vt:variant>
      <vt:variant>
        <vt:lpwstr/>
      </vt:variant>
      <vt:variant>
        <vt:lpwstr>_Toc203985435</vt:lpwstr>
      </vt:variant>
      <vt:variant>
        <vt:i4>1572925</vt:i4>
      </vt:variant>
      <vt:variant>
        <vt:i4>62</vt:i4>
      </vt:variant>
      <vt:variant>
        <vt:i4>0</vt:i4>
      </vt:variant>
      <vt:variant>
        <vt:i4>5</vt:i4>
      </vt:variant>
      <vt:variant>
        <vt:lpwstr/>
      </vt:variant>
      <vt:variant>
        <vt:lpwstr>_Toc203985434</vt:lpwstr>
      </vt:variant>
      <vt:variant>
        <vt:i4>1572925</vt:i4>
      </vt:variant>
      <vt:variant>
        <vt:i4>56</vt:i4>
      </vt:variant>
      <vt:variant>
        <vt:i4>0</vt:i4>
      </vt:variant>
      <vt:variant>
        <vt:i4>5</vt:i4>
      </vt:variant>
      <vt:variant>
        <vt:lpwstr/>
      </vt:variant>
      <vt:variant>
        <vt:lpwstr>_Toc203985433</vt:lpwstr>
      </vt:variant>
      <vt:variant>
        <vt:i4>1572925</vt:i4>
      </vt:variant>
      <vt:variant>
        <vt:i4>50</vt:i4>
      </vt:variant>
      <vt:variant>
        <vt:i4>0</vt:i4>
      </vt:variant>
      <vt:variant>
        <vt:i4>5</vt:i4>
      </vt:variant>
      <vt:variant>
        <vt:lpwstr/>
      </vt:variant>
      <vt:variant>
        <vt:lpwstr>_Toc203985432</vt:lpwstr>
      </vt:variant>
      <vt:variant>
        <vt:i4>1572925</vt:i4>
      </vt:variant>
      <vt:variant>
        <vt:i4>44</vt:i4>
      </vt:variant>
      <vt:variant>
        <vt:i4>0</vt:i4>
      </vt:variant>
      <vt:variant>
        <vt:i4>5</vt:i4>
      </vt:variant>
      <vt:variant>
        <vt:lpwstr/>
      </vt:variant>
      <vt:variant>
        <vt:lpwstr>_Toc203985431</vt:lpwstr>
      </vt:variant>
      <vt:variant>
        <vt:i4>1572925</vt:i4>
      </vt:variant>
      <vt:variant>
        <vt:i4>38</vt:i4>
      </vt:variant>
      <vt:variant>
        <vt:i4>0</vt:i4>
      </vt:variant>
      <vt:variant>
        <vt:i4>5</vt:i4>
      </vt:variant>
      <vt:variant>
        <vt:lpwstr/>
      </vt:variant>
      <vt:variant>
        <vt:lpwstr>_Toc203985430</vt:lpwstr>
      </vt:variant>
      <vt:variant>
        <vt:i4>1638461</vt:i4>
      </vt:variant>
      <vt:variant>
        <vt:i4>32</vt:i4>
      </vt:variant>
      <vt:variant>
        <vt:i4>0</vt:i4>
      </vt:variant>
      <vt:variant>
        <vt:i4>5</vt:i4>
      </vt:variant>
      <vt:variant>
        <vt:lpwstr/>
      </vt:variant>
      <vt:variant>
        <vt:lpwstr>_Toc203985429</vt:lpwstr>
      </vt:variant>
      <vt:variant>
        <vt:i4>1638461</vt:i4>
      </vt:variant>
      <vt:variant>
        <vt:i4>26</vt:i4>
      </vt:variant>
      <vt:variant>
        <vt:i4>0</vt:i4>
      </vt:variant>
      <vt:variant>
        <vt:i4>5</vt:i4>
      </vt:variant>
      <vt:variant>
        <vt:lpwstr/>
      </vt:variant>
      <vt:variant>
        <vt:lpwstr>_Toc203985428</vt:lpwstr>
      </vt:variant>
      <vt:variant>
        <vt:i4>1638461</vt:i4>
      </vt:variant>
      <vt:variant>
        <vt:i4>20</vt:i4>
      </vt:variant>
      <vt:variant>
        <vt:i4>0</vt:i4>
      </vt:variant>
      <vt:variant>
        <vt:i4>5</vt:i4>
      </vt:variant>
      <vt:variant>
        <vt:lpwstr/>
      </vt:variant>
      <vt:variant>
        <vt:lpwstr>_Toc203985427</vt:lpwstr>
      </vt:variant>
      <vt:variant>
        <vt:i4>1638461</vt:i4>
      </vt:variant>
      <vt:variant>
        <vt:i4>14</vt:i4>
      </vt:variant>
      <vt:variant>
        <vt:i4>0</vt:i4>
      </vt:variant>
      <vt:variant>
        <vt:i4>5</vt:i4>
      </vt:variant>
      <vt:variant>
        <vt:lpwstr/>
      </vt:variant>
      <vt:variant>
        <vt:lpwstr>_Toc203985426</vt:lpwstr>
      </vt:variant>
      <vt:variant>
        <vt:i4>1638461</vt:i4>
      </vt:variant>
      <vt:variant>
        <vt:i4>8</vt:i4>
      </vt:variant>
      <vt:variant>
        <vt:i4>0</vt:i4>
      </vt:variant>
      <vt:variant>
        <vt:i4>5</vt:i4>
      </vt:variant>
      <vt:variant>
        <vt:lpwstr/>
      </vt:variant>
      <vt:variant>
        <vt:lpwstr>_Toc203985425</vt:lpwstr>
      </vt:variant>
      <vt:variant>
        <vt:i4>1638461</vt:i4>
      </vt:variant>
      <vt:variant>
        <vt:i4>2</vt:i4>
      </vt:variant>
      <vt:variant>
        <vt:i4>0</vt:i4>
      </vt:variant>
      <vt:variant>
        <vt:i4>5</vt:i4>
      </vt:variant>
      <vt:variant>
        <vt:lpwstr/>
      </vt:variant>
      <vt:variant>
        <vt:lpwstr>_Toc203985424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dc:creator>
  <cp:keywords/>
  <dc:description/>
  <cp:lastModifiedBy>Tahseen Ali</cp:lastModifiedBy>
  <cp:revision>6</cp:revision>
  <dcterms:created xsi:type="dcterms:W3CDTF">2025-08-07T12:26:00Z</dcterms:created>
  <dcterms:modified xsi:type="dcterms:W3CDTF">2025-08-07T13:50:00Z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4e7de28b,6e8e7ead,3a87b6</vt:lpwstr>
  </property>
  <property fmtid="{D5CDD505-2E9C-101B-9397-08002B2CF9AE}" pid="3" name="ClassificationContentMarkingHeaderFontProps">
    <vt:lpwstr>#000000,10,Calibri</vt:lpwstr>
  </property>
  <property fmtid="{D5CDD505-2E9C-101B-9397-08002B2CF9AE}" pid="4" name="ClassificationContentMarkingHeaderText">
    <vt:lpwstr>Protected</vt:lpwstr>
  </property>
  <property fmtid="{D5CDD505-2E9C-101B-9397-08002B2CF9AE}" pid="5" name="MSIP_Label_9ef4adf7-25a7-4f52-a61a-df7190f1d881_Enabled">
    <vt:lpwstr>true</vt:lpwstr>
  </property>
  <property fmtid="{D5CDD505-2E9C-101B-9397-08002B2CF9AE}" pid="6" name="MSIP_Label_9ef4adf7-25a7-4f52-a61a-df7190f1d881_SetDate">
    <vt:lpwstr>2025-04-07T12:16:42Z</vt:lpwstr>
  </property>
  <property fmtid="{D5CDD505-2E9C-101B-9397-08002B2CF9AE}" pid="7" name="MSIP_Label_9ef4adf7-25a7-4f52-a61a-df7190f1d881_Method">
    <vt:lpwstr>Standard</vt:lpwstr>
  </property>
  <property fmtid="{D5CDD505-2E9C-101B-9397-08002B2CF9AE}" pid="8" name="MSIP_Label_9ef4adf7-25a7-4f52-a61a-df7190f1d881_Name">
    <vt:lpwstr>Category C - Protected</vt:lpwstr>
  </property>
  <property fmtid="{D5CDD505-2E9C-101B-9397-08002B2CF9AE}" pid="9" name="MSIP_Label_9ef4adf7-25a7-4f52-a61a-df7190f1d881_SiteId">
    <vt:lpwstr>8fa69c26-409d-43e5-973c-17a8be1a7f35</vt:lpwstr>
  </property>
  <property fmtid="{D5CDD505-2E9C-101B-9397-08002B2CF9AE}" pid="10" name="MSIP_Label_9ef4adf7-25a7-4f52-a61a-df7190f1d881_ActionId">
    <vt:lpwstr>2798c2a5-ac56-49ae-9e08-18cc213a7350</vt:lpwstr>
  </property>
  <property fmtid="{D5CDD505-2E9C-101B-9397-08002B2CF9AE}" pid="11" name="MSIP_Label_9ef4adf7-25a7-4f52-a61a-df7190f1d881_ContentBits">
    <vt:lpwstr>1</vt:lpwstr>
  </property>
  <property fmtid="{D5CDD505-2E9C-101B-9397-08002B2CF9AE}" pid="12" name="MSIP_Label_9ef4adf7-25a7-4f52-a61a-df7190f1d881_Tag">
    <vt:lpwstr>10, 3, 0, 1</vt:lpwstr>
  </property>
  <property fmtid="{D5CDD505-2E9C-101B-9397-08002B2CF9AE}" pid="13" name="GrammarlyDocumentId">
    <vt:lpwstr>daf478c1-6b97-4503-a224-f4f15d7f7430</vt:lpwstr>
  </property>
</Properties>
</file>