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AB39" w14:textId="77777777" w:rsidR="00E97163" w:rsidRDefault="00C91F39">
      <w:pPr>
        <w:numPr>
          <w:ilvl w:val="0"/>
          <w:numId w:val="1"/>
        </w:numPr>
        <w:jc w:val="cente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t>Terms of Reference</w:t>
      </w:r>
    </w:p>
    <w:p w14:paraId="7B9D638C" w14:textId="77777777" w:rsidR="00E97163" w:rsidRDefault="00C91F39">
      <w:pPr>
        <w:jc w:val="cente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t xml:space="preserve">SELECTION OF CONSULTANTS FOR </w:t>
      </w:r>
      <w:bookmarkStart w:id="0" w:name="_Hlk205982202"/>
      <w:r>
        <w:rPr>
          <w:rFonts w:ascii="Times New Roman" w:hAnsi="Times New Roman" w:cs="Times New Roman"/>
          <w:b/>
          <w:bCs/>
          <w:smallCaps/>
          <w:sz w:val="24"/>
          <w:szCs w:val="24"/>
          <w:u w:val="single"/>
        </w:rPr>
        <w:t>SH</w:t>
      </w:r>
      <w:bookmarkEnd w:id="0"/>
      <w:r>
        <w:rPr>
          <w:rFonts w:ascii="Times New Roman" w:hAnsi="Times New Roman" w:cs="Times New Roman"/>
          <w:b/>
          <w:bCs/>
          <w:smallCaps/>
          <w:sz w:val="24"/>
          <w:szCs w:val="24"/>
          <w:u w:val="single"/>
        </w:rPr>
        <w:t>ARI’AH AUDITING SERVICES</w:t>
      </w:r>
    </w:p>
    <w:p w14:paraId="6000FAC0" w14:textId="77777777" w:rsidR="00E97163" w:rsidRDefault="00C91F39">
      <w:pPr>
        <w:jc w:val="cente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t xml:space="preserve">“Strengthening the Economic Resilience of the Vulnerable Enterprises (SERVE) Project”, </w:t>
      </w:r>
    </w:p>
    <w:p w14:paraId="4B2346A0" w14:textId="12F4F0FC" w:rsidR="00E97163" w:rsidRDefault="00C91F39">
      <w:pPr>
        <w:jc w:val="cente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t xml:space="preserve">IsDB Loan, Project Code: UZB-1037 </w:t>
      </w:r>
    </w:p>
    <w:p w14:paraId="59CDA30D" w14:textId="2CF31B32" w:rsidR="004257FB" w:rsidRDefault="004257FB">
      <w:pPr>
        <w:jc w:val="center"/>
        <w:rPr>
          <w:rFonts w:ascii="Times New Roman" w:hAnsi="Times New Roman" w:cs="Times New Roman"/>
          <w:b/>
          <w:bCs/>
          <w:smallCaps/>
          <w:sz w:val="24"/>
          <w:szCs w:val="24"/>
          <w:u w:val="single"/>
        </w:rPr>
      </w:pPr>
      <w:r>
        <w:rPr>
          <w:rFonts w:ascii="Times New Roman" w:hAnsi="Times New Roman"/>
          <w:b/>
          <w:bCs/>
          <w:sz w:val="26"/>
          <w:szCs w:val="26"/>
        </w:rPr>
        <w:t xml:space="preserve">Contract </w:t>
      </w:r>
      <w:r w:rsidRPr="00557A9C">
        <w:rPr>
          <w:rFonts w:ascii="Times New Roman" w:hAnsi="Times New Roman"/>
          <w:b/>
          <w:bCs/>
          <w:sz w:val="26"/>
          <w:szCs w:val="26"/>
          <w:lang w:val="uz-Cyrl-UZ"/>
        </w:rPr>
        <w:t>№</w:t>
      </w:r>
      <w:r w:rsidRPr="00557A9C">
        <w:rPr>
          <w:rFonts w:ascii="Times New Roman" w:hAnsi="Times New Roman"/>
          <w:b/>
          <w:bCs/>
          <w:sz w:val="26"/>
          <w:szCs w:val="26"/>
        </w:rPr>
        <w:t>SERVE</w:t>
      </w:r>
      <w:r w:rsidRPr="004257FB">
        <w:rPr>
          <w:rFonts w:ascii="Times New Roman" w:hAnsi="Times New Roman"/>
          <w:b/>
          <w:bCs/>
          <w:sz w:val="26"/>
          <w:szCs w:val="26"/>
        </w:rPr>
        <w:t>/CQS/</w:t>
      </w:r>
      <w:r>
        <w:rPr>
          <w:rFonts w:ascii="Times New Roman" w:hAnsi="Times New Roman"/>
          <w:b/>
          <w:bCs/>
          <w:sz w:val="26"/>
          <w:szCs w:val="26"/>
        </w:rPr>
        <w:t>Audit</w:t>
      </w:r>
      <w:r w:rsidRPr="004257FB">
        <w:rPr>
          <w:rFonts w:ascii="Times New Roman" w:hAnsi="Times New Roman"/>
          <w:b/>
          <w:bCs/>
          <w:sz w:val="26"/>
          <w:szCs w:val="26"/>
        </w:rPr>
        <w:t>-01</w:t>
      </w:r>
    </w:p>
    <w:p w14:paraId="23593754" w14:textId="6A99ACCA" w:rsidR="00E97163" w:rsidRDefault="00C91F39">
      <w:pPr>
        <w:pStyle w:val="1"/>
        <w:rPr>
          <w:rFonts w:cs="Times New Roman"/>
          <w:szCs w:val="24"/>
        </w:rPr>
      </w:pPr>
      <w:r>
        <w:rPr>
          <w:rFonts w:cs="Times New Roman"/>
          <w:szCs w:val="24"/>
        </w:rPr>
        <w:t>Background</w:t>
      </w:r>
    </w:p>
    <w:p w14:paraId="30AC44C5" w14:textId="77777777" w:rsidR="00E97163" w:rsidRDefault="00C91F39">
      <w:pPr>
        <w:pStyle w:val="paragraph"/>
        <w:shd w:val="clear" w:color="auto" w:fill="FFFFFF"/>
        <w:spacing w:after="0"/>
        <w:jc w:val="both"/>
        <w:textAlignment w:val="baseline"/>
      </w:pPr>
      <w:r>
        <w:rPr>
          <w:lang w:val="uz-Cyrl-UZ"/>
        </w:rPr>
        <w:t xml:space="preserve">The Government of Uzbekistan received loan from the Islamic Development Bank to finance the implementation of the Strengthening the Economic Resilience of the Vulnerable Enterprises (SERVE) Project in Uzbekistan, referred as “the Project”. The total Project cost is estimated at US$ 100.30 million. The Project will be financed by the IsDB, Participating Financial Institutions and the Government of Uzbekistan. IsDB’s Contribution is US$ US$ 40 million. The Ministry of Economy and Finance is the Executing Agency (EA) and is entrusted in the execution and supervision of the implementation of the project through Project Management Unit, based in the premises of the Executing Agency. The legally binding terms and conditions of the financing are specified in the IsDB Loan Agreement, Framework Agreement, and Agency Agreement No.UZB-1037, dated April 18 2024, which may be amplified by supplemental letters and /or an amendment. </w:t>
      </w:r>
    </w:p>
    <w:p w14:paraId="5BD6F655" w14:textId="77777777" w:rsidR="00E97163" w:rsidRDefault="00C91F39">
      <w:pPr>
        <w:pStyle w:val="1"/>
        <w:rPr>
          <w:rFonts w:cs="Times New Roman"/>
          <w:szCs w:val="24"/>
        </w:rPr>
      </w:pPr>
      <w:r>
        <w:rPr>
          <w:rFonts w:cs="Times New Roman"/>
          <w:szCs w:val="24"/>
        </w:rPr>
        <w:t xml:space="preserve">Project Description. </w:t>
      </w:r>
    </w:p>
    <w:p w14:paraId="60B500A1" w14:textId="77777777" w:rsidR="00E97163" w:rsidRDefault="00C91F39">
      <w:pPr>
        <w:pStyle w:val="Default"/>
        <w:jc w:val="both"/>
        <w:rPr>
          <w:rFonts w:ascii="Times New Roman" w:hAnsi="Times New Roman" w:cs="Times New Roman"/>
        </w:rPr>
      </w:pPr>
      <w:r>
        <w:rPr>
          <w:rFonts w:ascii="Times New Roman" w:hAnsi="Times New Roman" w:cs="Times New Roman"/>
        </w:rPr>
        <w:t xml:space="preserve">The project has four components as follows: </w:t>
      </w:r>
    </w:p>
    <w:p w14:paraId="1AE613F5" w14:textId="77777777" w:rsidR="00E97163" w:rsidRDefault="00E97163">
      <w:pPr>
        <w:pStyle w:val="Default"/>
        <w:jc w:val="both"/>
        <w:rPr>
          <w:rFonts w:ascii="Times New Roman" w:hAnsi="Times New Roman" w:cs="Times New Roman"/>
        </w:rPr>
      </w:pPr>
    </w:p>
    <w:p w14:paraId="07984DF6" w14:textId="77777777" w:rsidR="00E97163" w:rsidRDefault="00C91F39">
      <w:pPr>
        <w:pStyle w:val="Default"/>
        <w:jc w:val="both"/>
        <w:rPr>
          <w:rFonts w:ascii="Times New Roman" w:hAnsi="Times New Roman" w:cs="Times New Roman"/>
        </w:rPr>
      </w:pPr>
      <w:r>
        <w:rPr>
          <w:rFonts w:ascii="Times New Roman" w:hAnsi="Times New Roman" w:cs="Times New Roman"/>
          <w:b/>
          <w:bCs/>
        </w:rPr>
        <w:t xml:space="preserve">Component A. Access to Finance: </w:t>
      </w:r>
      <w:r>
        <w:rPr>
          <w:rFonts w:ascii="Times New Roman" w:hAnsi="Times New Roman" w:cs="Times New Roman"/>
        </w:rPr>
        <w:t xml:space="preserve">provision of line of financing (LOF) for MSMEs through the selected Partner Financial Institution (PFI)in an Islamic sharia-compliant operation. The financing will be extended primarily for small business development support, including small loans and micro-finance for entrepreneurs and small enterprises, households/family businesses, women and youth-headed enterprises. A separate financial instrument in the form of a guarantee facility will be extended to target the micro and small enterprises to increase their access to finance. This component will address the needs of MSMEs to sustain impact of vulnerability, consolidate their business and recover better from its impact. The MSMEs supported by the line of finance maybe different from the MSMEs supported under the guarantee scheme to achieve maximum impact as separate schemes supporting MSMEs. The guarantee schemes will be used to guarantee shariah compliant facilities. </w:t>
      </w:r>
    </w:p>
    <w:p w14:paraId="78F3936E" w14:textId="77777777" w:rsidR="00E97163" w:rsidRDefault="00E97163">
      <w:pPr>
        <w:pStyle w:val="Default"/>
        <w:jc w:val="both"/>
        <w:rPr>
          <w:rFonts w:ascii="Times New Roman" w:hAnsi="Times New Roman" w:cs="Times New Roman"/>
        </w:rPr>
      </w:pPr>
    </w:p>
    <w:p w14:paraId="336BE497" w14:textId="77777777" w:rsidR="00E97163" w:rsidRDefault="00C91F39">
      <w:pPr>
        <w:pStyle w:val="Default"/>
        <w:jc w:val="both"/>
        <w:rPr>
          <w:rFonts w:ascii="Times New Roman" w:hAnsi="Times New Roman" w:cs="Times New Roman"/>
        </w:rPr>
      </w:pPr>
      <w:r>
        <w:rPr>
          <w:rFonts w:ascii="Times New Roman" w:hAnsi="Times New Roman" w:cs="Times New Roman"/>
          <w:b/>
          <w:bCs/>
        </w:rPr>
        <w:t>Component B. Business Engineering and Capacity Building:</w:t>
      </w:r>
      <w:r>
        <w:rPr>
          <w:rFonts w:ascii="Times New Roman" w:hAnsi="Times New Roman" w:cs="Times New Roman"/>
          <w:bCs/>
          <w:lang w:val="en-GB"/>
        </w:rPr>
        <w:t xml:space="preserve"> </w:t>
      </w:r>
      <w:r>
        <w:rPr>
          <w:rFonts w:ascii="Times New Roman" w:hAnsi="Times New Roman" w:cs="Times New Roman"/>
        </w:rPr>
        <w:t>the component envisions support to: (</w:t>
      </w:r>
      <w:proofErr w:type="spellStart"/>
      <w:r>
        <w:rPr>
          <w:rFonts w:ascii="Times New Roman" w:hAnsi="Times New Roman" w:cs="Times New Roman"/>
        </w:rPr>
        <w:t>i</w:t>
      </w:r>
      <w:proofErr w:type="spellEnd"/>
      <w:r>
        <w:rPr>
          <w:rFonts w:ascii="Times New Roman" w:hAnsi="Times New Roman" w:cs="Times New Roman"/>
        </w:rPr>
        <w:t>) MSMEs in business planning for value chain development; (ii) capacity building and supporting financial institutions in development of working tools, including tools and services targeted for women and youth, additional financial products, and staff training; and (iii) Supporting Business Development Services based on Economic Empowerment approach in supporting vulnerable MSMEs in the country. These value-addition services ensure the sustainability of the project and put in place a mechanism that will enhance resilience of MSMEs as they come out of the crisis through better business planning and market linkages.</w:t>
      </w:r>
    </w:p>
    <w:p w14:paraId="4D2D319F" w14:textId="77777777" w:rsidR="00E97163" w:rsidRDefault="00E97163">
      <w:pPr>
        <w:pStyle w:val="Default"/>
        <w:jc w:val="both"/>
        <w:rPr>
          <w:rFonts w:ascii="Times New Roman" w:hAnsi="Times New Roman" w:cs="Times New Roman"/>
        </w:rPr>
      </w:pPr>
    </w:p>
    <w:p w14:paraId="59D58683" w14:textId="77777777" w:rsidR="00E97163" w:rsidRDefault="00C91F39">
      <w:pPr>
        <w:pStyle w:val="Default"/>
        <w:jc w:val="both"/>
        <w:rPr>
          <w:rFonts w:ascii="Times New Roman" w:hAnsi="Times New Roman" w:cs="Times New Roman"/>
        </w:rPr>
      </w:pPr>
      <w:r>
        <w:rPr>
          <w:rFonts w:ascii="Times New Roman" w:hAnsi="Times New Roman" w:cs="Times New Roman"/>
          <w:b/>
          <w:bCs/>
        </w:rPr>
        <w:t>Component C. Project Coordination:</w:t>
      </w:r>
      <w:r>
        <w:rPr>
          <w:rFonts w:ascii="Times New Roman" w:hAnsi="Times New Roman" w:cs="Times New Roman"/>
          <w:b/>
          <w:lang w:val="en-GB"/>
        </w:rPr>
        <w:t xml:space="preserve"> </w:t>
      </w:r>
      <w:r>
        <w:rPr>
          <w:rFonts w:ascii="Times New Roman" w:hAnsi="Times New Roman" w:cs="Times New Roman"/>
        </w:rPr>
        <w:t xml:space="preserve">The component will finance the cost of supporting project implementation, including setting up of the Project Management Unit (PMU) under the Executing Agency and its operations (staff salary, office equipment, operating cost, project start-up and staff training). The component will also finance upgrading the IT software in financial management/accounting and establishment of a Management Information System (MIS) as a part of automation and monitoring of fund flow, measurement, and evaluation of project results indicators. </w:t>
      </w:r>
    </w:p>
    <w:p w14:paraId="6F96430D" w14:textId="77777777" w:rsidR="00E97163" w:rsidRDefault="00E97163">
      <w:pPr>
        <w:pStyle w:val="Default"/>
        <w:jc w:val="both"/>
        <w:rPr>
          <w:rFonts w:ascii="Times New Roman" w:hAnsi="Times New Roman" w:cs="Times New Roman"/>
        </w:rPr>
      </w:pPr>
    </w:p>
    <w:p w14:paraId="72974667" w14:textId="77777777" w:rsidR="00E97163" w:rsidRDefault="00C91F39">
      <w:pPr>
        <w:pStyle w:val="Default"/>
        <w:jc w:val="both"/>
        <w:rPr>
          <w:rFonts w:ascii="Times New Roman" w:hAnsi="Times New Roman" w:cs="Times New Roman"/>
        </w:rPr>
      </w:pPr>
      <w:r>
        <w:rPr>
          <w:rFonts w:ascii="Times New Roman" w:hAnsi="Times New Roman" w:cs="Times New Roman"/>
          <w:b/>
          <w:bCs/>
        </w:rPr>
        <w:t xml:space="preserve">Component D. Audit Service: </w:t>
      </w:r>
      <w:r>
        <w:rPr>
          <w:rFonts w:ascii="Times New Roman" w:hAnsi="Times New Roman" w:cs="Times New Roman"/>
        </w:rPr>
        <w:t>the component will comprise of provision of (</w:t>
      </w:r>
      <w:proofErr w:type="spellStart"/>
      <w:r>
        <w:rPr>
          <w:rFonts w:ascii="Times New Roman" w:hAnsi="Times New Roman" w:cs="Times New Roman"/>
        </w:rPr>
        <w:t>i</w:t>
      </w:r>
      <w:proofErr w:type="spellEnd"/>
      <w:r>
        <w:rPr>
          <w:rFonts w:ascii="Times New Roman" w:hAnsi="Times New Roman" w:cs="Times New Roman"/>
        </w:rPr>
        <w:t xml:space="preserve">) financial audit service to ensure eligibility of the expenditures, effective operation of Special Accounts and (ii) sharia audit service to ensure sharia compliance of the transactions. The assignments will be undertaken by independent, qualified auditors acceptable to the IsDB. </w:t>
      </w:r>
    </w:p>
    <w:p w14:paraId="3074C0D9" w14:textId="77777777" w:rsidR="00E97163" w:rsidRDefault="00C91F39">
      <w:pPr>
        <w:pStyle w:val="1"/>
        <w:rPr>
          <w:rFonts w:cs="Times New Roman"/>
          <w:szCs w:val="24"/>
        </w:rPr>
      </w:pPr>
      <w:r>
        <w:rPr>
          <w:rFonts w:cs="Times New Roman"/>
          <w:szCs w:val="24"/>
        </w:rPr>
        <w:t>Objective</w:t>
      </w:r>
    </w:p>
    <w:p w14:paraId="0A17202C" w14:textId="77777777" w:rsidR="00E97163" w:rsidRPr="00CD51BD" w:rsidRDefault="00C91F39">
      <w:pPr>
        <w:pStyle w:val="paragraph"/>
        <w:shd w:val="clear" w:color="auto" w:fill="FFFFFF"/>
        <w:spacing w:before="0" w:beforeAutospacing="0" w:after="0" w:afterAutospacing="0"/>
        <w:jc w:val="both"/>
        <w:textAlignment w:val="baseline"/>
      </w:pPr>
      <w:r>
        <w:t>The Project is based on Instalment Sale and Islamic Loan (</w:t>
      </w:r>
      <w:proofErr w:type="spellStart"/>
      <w:r>
        <w:t>Qard</w:t>
      </w:r>
      <w:proofErr w:type="spellEnd"/>
      <w:r>
        <w:t xml:space="preserve">) financing structures and requires to appoint a </w:t>
      </w:r>
      <w:proofErr w:type="spellStart"/>
      <w:r>
        <w:t>Shari’ah</w:t>
      </w:r>
      <w:proofErr w:type="spellEnd"/>
      <w:r>
        <w:t xml:space="preserve"> Auditor to audit the project implementation to ensure compliance with AAOIFI International </w:t>
      </w:r>
      <w:proofErr w:type="spellStart"/>
      <w:r>
        <w:t>Shari’ah</w:t>
      </w:r>
      <w:proofErr w:type="spellEnd"/>
      <w:r>
        <w:t xml:space="preserve"> Standards as the reference benchmark. The </w:t>
      </w:r>
      <w:proofErr w:type="spellStart"/>
      <w:r>
        <w:t>Shari’ah</w:t>
      </w:r>
      <w:proofErr w:type="spellEnd"/>
      <w:r>
        <w:t xml:space="preserve"> Audit objective shall be to safeguard the project from interest (</w:t>
      </w:r>
      <w:proofErr w:type="spellStart"/>
      <w:r>
        <w:t>riba</w:t>
      </w:r>
      <w:proofErr w:type="spellEnd"/>
      <w:r>
        <w:t>), harmful uncertainties (</w:t>
      </w:r>
      <w:proofErr w:type="spellStart"/>
      <w:r>
        <w:t>gharar</w:t>
      </w:r>
      <w:proofErr w:type="spellEnd"/>
      <w:r>
        <w:t xml:space="preserve">) and other </w:t>
      </w:r>
      <w:proofErr w:type="spellStart"/>
      <w:r>
        <w:t>Shari’ah</w:t>
      </w:r>
      <w:proofErr w:type="spellEnd"/>
      <w:r>
        <w:t xml:space="preserve"> non-compliance risks during the implementation life cycle. The focal point of the </w:t>
      </w:r>
      <w:proofErr w:type="spellStart"/>
      <w:r>
        <w:t>Shari’ah</w:t>
      </w:r>
      <w:proofErr w:type="spellEnd"/>
      <w:r>
        <w:t xml:space="preserve"> Auditor shall be the IsDB Group </w:t>
      </w:r>
      <w:proofErr w:type="spellStart"/>
      <w:r>
        <w:t>Shari’ah</w:t>
      </w:r>
      <w:proofErr w:type="spellEnd"/>
      <w:r>
        <w:t xml:space="preserve"> Affairs Division. </w:t>
      </w:r>
    </w:p>
    <w:p w14:paraId="3439FB92" w14:textId="77777777" w:rsidR="00E97163" w:rsidRDefault="00C91F39">
      <w:pPr>
        <w:pStyle w:val="1"/>
        <w:rPr>
          <w:rFonts w:cs="Times New Roman"/>
          <w:szCs w:val="24"/>
        </w:rPr>
      </w:pPr>
      <w:r>
        <w:rPr>
          <w:rFonts w:cs="Times New Roman"/>
          <w:szCs w:val="24"/>
        </w:rPr>
        <w:t xml:space="preserve">Scope of Services </w:t>
      </w:r>
    </w:p>
    <w:p w14:paraId="2F74E3BC" w14:textId="77777777" w:rsidR="00E97163" w:rsidRDefault="00C91F39">
      <w:pPr>
        <w:pStyle w:val="paragraph"/>
        <w:spacing w:before="0" w:beforeAutospacing="0" w:after="0" w:afterAutospacing="0"/>
        <w:jc w:val="both"/>
        <w:textAlignment w:val="baseline"/>
        <w:rPr>
          <w:rStyle w:val="normaltextrun"/>
          <w:color w:val="000000"/>
          <w:shd w:val="clear" w:color="auto" w:fill="FFFFFF"/>
        </w:rPr>
      </w:pPr>
      <w:r>
        <w:rPr>
          <w:rStyle w:val="normaltextrun"/>
          <w:color w:val="000000"/>
          <w:shd w:val="clear" w:color="auto" w:fill="FFFFFF"/>
        </w:rPr>
        <w:t xml:space="preserve">The </w:t>
      </w:r>
      <w:proofErr w:type="spellStart"/>
      <w:r>
        <w:rPr>
          <w:rStyle w:val="normaltextrun"/>
          <w:color w:val="000000"/>
          <w:shd w:val="clear" w:color="auto" w:fill="FFFFFF"/>
        </w:rPr>
        <w:t>Shari’ah</w:t>
      </w:r>
      <w:proofErr w:type="spellEnd"/>
      <w:r>
        <w:rPr>
          <w:rStyle w:val="normaltextrun"/>
          <w:color w:val="000000"/>
          <w:shd w:val="clear" w:color="auto" w:fill="FFFFFF"/>
        </w:rPr>
        <w:t xml:space="preserve"> Auditor will provide the following </w:t>
      </w:r>
      <w:proofErr w:type="spellStart"/>
      <w:r>
        <w:rPr>
          <w:rStyle w:val="normaltextrun"/>
          <w:color w:val="000000"/>
          <w:shd w:val="clear" w:color="auto" w:fill="FFFFFF"/>
        </w:rPr>
        <w:t>Shari’ah</w:t>
      </w:r>
      <w:proofErr w:type="spellEnd"/>
      <w:r>
        <w:rPr>
          <w:rStyle w:val="normaltextrun"/>
          <w:color w:val="000000"/>
          <w:shd w:val="clear" w:color="auto" w:fill="FFFFFF"/>
        </w:rPr>
        <w:t xml:space="preserve"> Audit Services to support the Project:</w:t>
      </w:r>
    </w:p>
    <w:p w14:paraId="32517904" w14:textId="77777777" w:rsidR="00E97163" w:rsidRDefault="00C91F39">
      <w:pPr>
        <w:pStyle w:val="paragraph"/>
        <w:spacing w:before="0" w:beforeAutospacing="0" w:after="0" w:afterAutospacing="0"/>
        <w:jc w:val="both"/>
        <w:textAlignment w:val="baseline"/>
      </w:pPr>
      <w:r>
        <w:rPr>
          <w:rStyle w:val="eop"/>
          <w:rFonts w:eastAsiaTheme="minorHAnsi"/>
        </w:rPr>
        <w:t> </w:t>
      </w:r>
    </w:p>
    <w:p w14:paraId="7A9C607F"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Project assets under the Framework Agreement to be financed using the </w:t>
      </w:r>
      <w:r>
        <w:rPr>
          <w:color w:val="000000"/>
        </w:rPr>
        <w:t>Instalment Sale are identified as tangible existing assets before disbursement (excluding cases where advance payments are used, which is based on a forecast of projected expenditures).</w:t>
      </w:r>
    </w:p>
    <w:p w14:paraId="5C2EE45E"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the Project assets to be financed using the </w:t>
      </w:r>
      <w:r>
        <w:rPr>
          <w:color w:val="000000"/>
        </w:rPr>
        <w:t xml:space="preserve">Instalment Sale are identified as </w:t>
      </w:r>
      <w:proofErr w:type="spellStart"/>
      <w:r>
        <w:rPr>
          <w:color w:val="000000"/>
        </w:rPr>
        <w:t>Shari’ah</w:t>
      </w:r>
      <w:proofErr w:type="spellEnd"/>
      <w:r>
        <w:rPr>
          <w:color w:val="000000"/>
        </w:rPr>
        <w:t>-compliant assets.</w:t>
      </w:r>
    </w:p>
    <w:p w14:paraId="0DFBCA49"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ownership of Project assets is properly acquired before sale in line with </w:t>
      </w:r>
      <w:proofErr w:type="spellStart"/>
      <w:r>
        <w:rPr>
          <w:rStyle w:val="normaltextrun"/>
          <w:color w:val="000000"/>
        </w:rPr>
        <w:t>Shari’ah</w:t>
      </w:r>
      <w:proofErr w:type="spellEnd"/>
      <w:r>
        <w:rPr>
          <w:rStyle w:val="normaltextrun"/>
          <w:color w:val="000000"/>
        </w:rPr>
        <w:t xml:space="preserve"> requirements for Instalment Sale </w:t>
      </w:r>
      <w:r>
        <w:rPr>
          <w:color w:val="000000"/>
        </w:rPr>
        <w:t>(excluding the cases where Sale offers and Sale acceptances are formalized in a bulk).</w:t>
      </w:r>
    </w:p>
    <w:p w14:paraId="0F8C07B9"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rPr>
      </w:pPr>
      <w:r>
        <w:rPr>
          <w:rStyle w:val="normaltextrun"/>
          <w:color w:val="000000"/>
        </w:rPr>
        <w:t xml:space="preserve">Perform a </w:t>
      </w:r>
      <w:proofErr w:type="spellStart"/>
      <w:r>
        <w:rPr>
          <w:rStyle w:val="normaltextrun"/>
          <w:color w:val="000000"/>
        </w:rPr>
        <w:t>Shari’ah</w:t>
      </w:r>
      <w:proofErr w:type="spellEnd"/>
      <w:r>
        <w:rPr>
          <w:rStyle w:val="normaltextrun"/>
          <w:color w:val="000000"/>
        </w:rPr>
        <w:t xml:space="preserve"> Audit to confirm that any penalties or late fees collected are handled in accordance with </w:t>
      </w:r>
      <w:proofErr w:type="spellStart"/>
      <w:r>
        <w:rPr>
          <w:rStyle w:val="normaltextrun"/>
          <w:color w:val="000000"/>
        </w:rPr>
        <w:t>Shari’ah</w:t>
      </w:r>
      <w:proofErr w:type="spellEnd"/>
      <w:r>
        <w:rPr>
          <w:rStyle w:val="normaltextrun"/>
          <w:color w:val="000000"/>
        </w:rPr>
        <w:t xml:space="preserve"> principles (i.e., not treated as income).</w:t>
      </w:r>
    </w:p>
    <w:p w14:paraId="0A10F656"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Perform a </w:t>
      </w:r>
      <w:proofErr w:type="spellStart"/>
      <w:r>
        <w:rPr>
          <w:rStyle w:val="normaltextrun"/>
          <w:color w:val="000000"/>
        </w:rPr>
        <w:t>Shari’ah</w:t>
      </w:r>
      <w:proofErr w:type="spellEnd"/>
      <w:r>
        <w:rPr>
          <w:rStyle w:val="normaltextrun"/>
          <w:color w:val="000000"/>
        </w:rPr>
        <w:t xml:space="preserve"> Audit to conduct a </w:t>
      </w:r>
      <w:proofErr w:type="gramStart"/>
      <w:r>
        <w:rPr>
          <w:rStyle w:val="normaltextrun"/>
          <w:color w:val="000000"/>
        </w:rPr>
        <w:t>selective on-site visits</w:t>
      </w:r>
      <w:proofErr w:type="gramEnd"/>
      <w:r>
        <w:rPr>
          <w:rStyle w:val="normaltextrun"/>
          <w:color w:val="000000"/>
        </w:rPr>
        <w:t xml:space="preserve"> as necessary to confirm </w:t>
      </w:r>
      <w:proofErr w:type="spellStart"/>
      <w:r>
        <w:rPr>
          <w:rStyle w:val="normaltextrun"/>
          <w:color w:val="000000"/>
        </w:rPr>
        <w:t>Shari’ah</w:t>
      </w:r>
      <w:proofErr w:type="spellEnd"/>
      <w:r>
        <w:rPr>
          <w:rStyle w:val="normaltextrun"/>
          <w:color w:val="000000"/>
        </w:rPr>
        <w:t xml:space="preserve"> compliance of financed assets and end-beneficiary MSME business activities.</w:t>
      </w:r>
    </w:p>
    <w:p w14:paraId="47C70893"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Perform a </w:t>
      </w:r>
      <w:proofErr w:type="spellStart"/>
      <w:r>
        <w:rPr>
          <w:rStyle w:val="normaltextrun"/>
          <w:color w:val="000000"/>
        </w:rPr>
        <w:t>Shari’ah</w:t>
      </w:r>
      <w:proofErr w:type="spellEnd"/>
      <w:r>
        <w:rPr>
          <w:rStyle w:val="normaltextrun"/>
          <w:color w:val="000000"/>
        </w:rPr>
        <w:t xml:space="preserve"> Audit to ensure that all contracts and instalment sale financing agreements under the Line of Finance follow approved </w:t>
      </w:r>
      <w:proofErr w:type="spellStart"/>
      <w:r>
        <w:rPr>
          <w:rStyle w:val="normaltextrun"/>
          <w:color w:val="000000"/>
        </w:rPr>
        <w:t>Shari’ah</w:t>
      </w:r>
      <w:proofErr w:type="spellEnd"/>
      <w:r>
        <w:rPr>
          <w:rStyle w:val="normaltextrun"/>
          <w:color w:val="000000"/>
        </w:rPr>
        <w:t>-compliant templates.</w:t>
      </w:r>
    </w:p>
    <w:p w14:paraId="39A0C63F"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lastRenderedPageBreak/>
        <w:t xml:space="preserve">Perform a </w:t>
      </w:r>
      <w:proofErr w:type="spellStart"/>
      <w:r>
        <w:rPr>
          <w:rStyle w:val="normaltextrun"/>
          <w:color w:val="000000"/>
        </w:rPr>
        <w:t>Shari’ah</w:t>
      </w:r>
      <w:proofErr w:type="spellEnd"/>
      <w:r>
        <w:rPr>
          <w:rStyle w:val="normaltextrun"/>
          <w:color w:val="000000"/>
        </w:rPr>
        <w:t xml:space="preserve"> Audit to verify that disbursement requests are supported by documentation that confirms </w:t>
      </w:r>
      <w:proofErr w:type="spellStart"/>
      <w:r>
        <w:rPr>
          <w:rStyle w:val="normaltextrun"/>
          <w:color w:val="000000"/>
        </w:rPr>
        <w:t>Shari’ah</w:t>
      </w:r>
      <w:proofErr w:type="spellEnd"/>
      <w:r>
        <w:rPr>
          <w:rStyle w:val="normaltextrun"/>
          <w:color w:val="000000"/>
        </w:rPr>
        <w:t xml:space="preserve"> compliance of the underlying </w:t>
      </w:r>
      <w:proofErr w:type="gramStart"/>
      <w:r>
        <w:rPr>
          <w:rStyle w:val="normaltextrun"/>
          <w:color w:val="000000"/>
        </w:rPr>
        <w:t>transaction</w:t>
      </w:r>
      <w:r>
        <w:rPr>
          <w:color w:val="000000"/>
        </w:rPr>
        <w:t>(</w:t>
      </w:r>
      <w:proofErr w:type="gramEnd"/>
      <w:r>
        <w:rPr>
          <w:color w:val="000000"/>
        </w:rPr>
        <w:t>excluding cases where advance payments are used, which is based on a forecast of projected expenditures)</w:t>
      </w:r>
      <w:r>
        <w:rPr>
          <w:rStyle w:val="normaltextrun"/>
          <w:color w:val="000000"/>
        </w:rPr>
        <w:t>.</w:t>
      </w:r>
    </w:p>
    <w:p w14:paraId="67E2265E"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the end beneficiary MSMEs that need the assets are engaged in </w:t>
      </w:r>
      <w:proofErr w:type="spellStart"/>
      <w:r>
        <w:rPr>
          <w:rStyle w:val="normaltextrun"/>
          <w:color w:val="000000"/>
        </w:rPr>
        <w:t>Shari’ah</w:t>
      </w:r>
      <w:proofErr w:type="spellEnd"/>
      <w:r>
        <w:rPr>
          <w:rStyle w:val="normaltextrun"/>
          <w:color w:val="000000"/>
        </w:rPr>
        <w:t>-compliant businesses</w:t>
      </w:r>
      <w:r>
        <w:rPr>
          <w:color w:val="000000"/>
        </w:rPr>
        <w:t>.</w:t>
      </w:r>
    </w:p>
    <w:p w14:paraId="69E6C8ED"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the instalment sale agreements (offer and acceptance) for each specific assets or batch of assets is properly executed.</w:t>
      </w:r>
    </w:p>
    <w:p w14:paraId="55B711B3"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the sequence of implementing the instalment sale transaction is in line with </w:t>
      </w:r>
      <w:proofErr w:type="spellStart"/>
      <w:r>
        <w:rPr>
          <w:rStyle w:val="normaltextrun"/>
          <w:color w:val="000000"/>
        </w:rPr>
        <w:t>Shari’ah</w:t>
      </w:r>
      <w:proofErr w:type="spellEnd"/>
      <w:r>
        <w:rPr>
          <w:rStyle w:val="normaltextrun"/>
          <w:color w:val="000000"/>
        </w:rPr>
        <w:t xml:space="preserve"> </w:t>
      </w:r>
      <w:r>
        <w:rPr>
          <w:color w:val="000000"/>
        </w:rPr>
        <w:t>(excluding the cases where Sale offers and Sale acceptances are formalized in a bulk the cases where cases where advance payments are used, which is based on a forecast of projected expenditures)</w:t>
      </w:r>
      <w:r>
        <w:rPr>
          <w:rStyle w:val="normaltextrun"/>
          <w:color w:val="000000"/>
        </w:rPr>
        <w:t>.</w:t>
      </w:r>
    </w:p>
    <w:p w14:paraId="6B2EE58E"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color w:val="000000"/>
        </w:rPr>
      </w:pPr>
      <w:r>
        <w:rPr>
          <w:rStyle w:val="normaltextrun"/>
          <w:color w:val="000000"/>
        </w:rPr>
        <w:t xml:space="preserve">Perform a </w:t>
      </w:r>
      <w:proofErr w:type="spellStart"/>
      <w:r>
        <w:rPr>
          <w:rStyle w:val="normaltextrun"/>
          <w:color w:val="000000"/>
        </w:rPr>
        <w:t>Shari’ah</w:t>
      </w:r>
      <w:proofErr w:type="spellEnd"/>
      <w:r>
        <w:rPr>
          <w:rStyle w:val="normaltextrun"/>
          <w:color w:val="000000"/>
        </w:rPr>
        <w:t xml:space="preserve"> Audit to ensure that the co-financing provided by the Partner Financial Institutions aligns with the pre-agreed provisions outlined in the Co-Financing Terms of the Financing Line guidelines, and that the end-beneficiary MSMEs are engaged in </w:t>
      </w:r>
      <w:proofErr w:type="spellStart"/>
      <w:r>
        <w:rPr>
          <w:rStyle w:val="normaltextrun"/>
          <w:color w:val="000000"/>
        </w:rPr>
        <w:t>Shari’ah</w:t>
      </w:r>
      <w:proofErr w:type="spellEnd"/>
      <w:r>
        <w:rPr>
          <w:rStyle w:val="normaltextrun"/>
          <w:color w:val="000000"/>
        </w:rPr>
        <w:t>-compliant business activities as defined in the same guidelines and specified in the Project descriptions of the Financing Agreements</w:t>
      </w:r>
      <w:r>
        <w:t xml:space="preserve">. </w:t>
      </w:r>
    </w:p>
    <w:p w14:paraId="01295726"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template legal (subsidiary) agreements are maintained during implementation and any changes made did not result in </w:t>
      </w:r>
      <w:proofErr w:type="spellStart"/>
      <w:r>
        <w:rPr>
          <w:rStyle w:val="normaltextrun"/>
          <w:color w:val="000000"/>
        </w:rPr>
        <w:t>Shari’ah</w:t>
      </w:r>
      <w:proofErr w:type="spellEnd"/>
      <w:r>
        <w:rPr>
          <w:rStyle w:val="normaltextrun"/>
          <w:color w:val="000000"/>
        </w:rPr>
        <w:t xml:space="preserve"> non-compliance.</w:t>
      </w:r>
    </w:p>
    <w:p w14:paraId="2A010946"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any Shariah non-compliant income is paid directly to IsDB’s Waqf Charitable Fund Account.</w:t>
      </w:r>
    </w:p>
    <w:p w14:paraId="04CD8C50"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the</w:t>
      </w:r>
      <w:r>
        <w:t xml:space="preserve"> Line of Finance Component is used exclusively to finance the items described in the Project Description, while all the other items including any contingencies are financed with the Islamic Loan (</w:t>
      </w:r>
      <w:proofErr w:type="spellStart"/>
      <w:r>
        <w:t>Qard</w:t>
      </w:r>
      <w:proofErr w:type="spellEnd"/>
      <w:r>
        <w:t>).</w:t>
      </w:r>
    </w:p>
    <w:p w14:paraId="5C8C9BC9"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color w:val="000000"/>
        </w:rPr>
      </w:pPr>
      <w:r>
        <w:rPr>
          <w:rStyle w:val="normaltextrun"/>
          <w:color w:val="000000"/>
        </w:rPr>
        <w:t xml:space="preserve">Perform </w:t>
      </w:r>
      <w:proofErr w:type="spellStart"/>
      <w:r>
        <w:rPr>
          <w:rStyle w:val="normaltextrun"/>
          <w:color w:val="000000"/>
        </w:rPr>
        <w:t>Shari’ah</w:t>
      </w:r>
      <w:proofErr w:type="spellEnd"/>
      <w:r>
        <w:rPr>
          <w:rStyle w:val="normaltextrun"/>
          <w:color w:val="000000"/>
        </w:rPr>
        <w:t xml:space="preserve"> Audit to ensure that the</w:t>
      </w:r>
      <w:r>
        <w:t xml:space="preserve"> guarantee to be provided which is funded by the IsDB Islamic Loan (</w:t>
      </w:r>
      <w:proofErr w:type="spellStart"/>
      <w:r>
        <w:t>Qard</w:t>
      </w:r>
      <w:proofErr w:type="spellEnd"/>
      <w:r>
        <w:t xml:space="preserve">) will be used to guarantee only Islamic financing facilities and not to guarantee conventional loans. Furthermore, if there is any guarantee fee charged by the implementing entity it must not exceed the actual cost i.e., the entity cannot profit from the fee but only recover actual costs in line with </w:t>
      </w:r>
      <w:proofErr w:type="spellStart"/>
      <w:r>
        <w:t>Shari’ah</w:t>
      </w:r>
      <w:proofErr w:type="spellEnd"/>
      <w:r>
        <w:t xml:space="preserve"> requirements. </w:t>
      </w:r>
    </w:p>
    <w:p w14:paraId="1941517D"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pPr>
      <w:r>
        <w:rPr>
          <w:rStyle w:val="normaltextrun"/>
          <w:color w:val="000000"/>
        </w:rPr>
        <w:t xml:space="preserve">Provide guidance on potential project </w:t>
      </w:r>
      <w:proofErr w:type="spellStart"/>
      <w:r>
        <w:rPr>
          <w:rStyle w:val="normaltextrun"/>
          <w:color w:val="000000"/>
        </w:rPr>
        <w:t>Shari’ah</w:t>
      </w:r>
      <w:proofErr w:type="spellEnd"/>
      <w:r>
        <w:rPr>
          <w:rStyle w:val="normaltextrun"/>
          <w:color w:val="000000"/>
        </w:rPr>
        <w:t xml:space="preserve"> non-compliance risks and how best to resolve them.</w:t>
      </w:r>
      <w:r>
        <w:rPr>
          <w:rStyle w:val="eop"/>
          <w:rFonts w:eastAsiaTheme="minorHAnsi"/>
        </w:rPr>
        <w:t> </w:t>
      </w:r>
    </w:p>
    <w:p w14:paraId="79DFF3EF"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Perform any related </w:t>
      </w:r>
      <w:proofErr w:type="spellStart"/>
      <w:r>
        <w:rPr>
          <w:rStyle w:val="normaltextrun"/>
          <w:color w:val="000000"/>
        </w:rPr>
        <w:t>Shari’ah</w:t>
      </w:r>
      <w:proofErr w:type="spellEnd"/>
      <w:r>
        <w:rPr>
          <w:rStyle w:val="normaltextrun"/>
          <w:color w:val="000000"/>
        </w:rPr>
        <w:t xml:space="preserve"> Audit tasks on the Project as may be required by IsDB from time to time.</w:t>
      </w:r>
    </w:p>
    <w:p w14:paraId="1F9E1BA0" w14:textId="77777777" w:rsidR="00E97163" w:rsidRDefault="00C91F39">
      <w:pPr>
        <w:pStyle w:val="1"/>
        <w:rPr>
          <w:rFonts w:cs="Times New Roman"/>
          <w:szCs w:val="24"/>
        </w:rPr>
      </w:pPr>
      <w:r>
        <w:rPr>
          <w:rFonts w:cs="Times New Roman"/>
          <w:szCs w:val="24"/>
        </w:rPr>
        <w:t xml:space="preserve">Duration of assignment. </w:t>
      </w:r>
    </w:p>
    <w:p w14:paraId="0F969016" w14:textId="7512BCA4" w:rsidR="00E97163" w:rsidRDefault="00C91F39">
      <w:pPr>
        <w:rPr>
          <w:rStyle w:val="normaltextrun"/>
          <w:rFonts w:ascii="Times New Roman" w:eastAsia="Times New Roman" w:hAnsi="Times New Roman" w:cs="Times New Roman"/>
          <w:color w:val="000000"/>
          <w:sz w:val="24"/>
          <w:szCs w:val="24"/>
        </w:rPr>
      </w:pPr>
      <w:r>
        <w:rPr>
          <w:rStyle w:val="normaltextrun"/>
          <w:rFonts w:ascii="Times New Roman" w:eastAsia="Times New Roman" w:hAnsi="Times New Roman" w:cs="Times New Roman"/>
          <w:color w:val="000000"/>
          <w:sz w:val="24"/>
          <w:szCs w:val="24"/>
        </w:rPr>
        <w:t>The duration of the assignment shall cover the entire implementation period of the Project, commencing in Q3 2025 and continuing until the Project's completion, tentatively scheduled for December 2027.</w:t>
      </w:r>
    </w:p>
    <w:p w14:paraId="1E224FFF" w14:textId="77777777" w:rsidR="00E97163" w:rsidRPr="00CD51BD" w:rsidRDefault="00C91F39" w:rsidP="00CD51BD">
      <w:pPr>
        <w:pStyle w:val="1"/>
        <w:rPr>
          <w:rFonts w:cs="Times New Roman"/>
        </w:rPr>
      </w:pPr>
      <w:r w:rsidRPr="00CD51BD">
        <w:rPr>
          <w:rFonts w:cs="Times New Roman"/>
        </w:rPr>
        <w:lastRenderedPageBreak/>
        <w:t>Contract Type</w:t>
      </w:r>
      <w:r>
        <w:rPr>
          <w:rFonts w:cs="Times New Roman"/>
          <w:szCs w:val="24"/>
        </w:rPr>
        <w:t>.</w:t>
      </w:r>
    </w:p>
    <w:p w14:paraId="25639F5D" w14:textId="77777777" w:rsidR="00E97163" w:rsidRDefault="00C91F39">
      <w:pPr>
        <w:rPr>
          <w:rStyle w:val="normaltextrun"/>
          <w:rFonts w:ascii="Times New Roman" w:eastAsia="Times New Roman" w:hAnsi="Times New Roman" w:cs="Times New Roman"/>
          <w:color w:val="000000"/>
          <w:sz w:val="24"/>
          <w:szCs w:val="24"/>
        </w:rPr>
      </w:pPr>
      <w:r>
        <w:rPr>
          <w:rStyle w:val="normaltextrun"/>
          <w:rFonts w:ascii="Times New Roman" w:eastAsia="Times New Roman" w:hAnsi="Times New Roman"/>
          <w:color w:val="000000"/>
          <w:sz w:val="24"/>
          <w:szCs w:val="24"/>
        </w:rPr>
        <w:t>Lump-sum contract (to be confirmed during negotiation).</w:t>
      </w:r>
    </w:p>
    <w:p w14:paraId="79E56F53" w14:textId="77777777" w:rsidR="00E97163" w:rsidRDefault="00C91F39">
      <w:pPr>
        <w:pStyle w:val="1"/>
        <w:rPr>
          <w:rFonts w:cs="Times New Roman"/>
          <w:szCs w:val="24"/>
        </w:rPr>
      </w:pPr>
      <w:r>
        <w:rPr>
          <w:rFonts w:cs="Times New Roman"/>
          <w:szCs w:val="24"/>
        </w:rPr>
        <w:t>Quality Reporting</w:t>
      </w:r>
    </w:p>
    <w:p w14:paraId="71ECBA5C" w14:textId="77777777" w:rsidR="00E97163" w:rsidRDefault="00C91F39">
      <w:pPr>
        <w:pStyle w:val="ae"/>
        <w:widowControl w:val="0"/>
        <w:numPr>
          <w:ilvl w:val="0"/>
          <w:numId w:val="3"/>
        </w:numPr>
        <w:autoSpaceDE w:val="0"/>
        <w:autoSpaceDN w:val="0"/>
        <w:adjustRightInd w:val="0"/>
        <w:spacing w:line="256" w:lineRule="auto"/>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 xml:space="preserve">The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Auditor has the responsibility to provide quality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Audit reports to the IsDB Group focal point on a quarterly basis. </w:t>
      </w:r>
    </w:p>
    <w:p w14:paraId="21B65B54" w14:textId="77777777" w:rsidR="00E97163" w:rsidRDefault="00C91F39">
      <w:pPr>
        <w:pStyle w:val="ae"/>
        <w:widowControl w:val="0"/>
        <w:numPr>
          <w:ilvl w:val="0"/>
          <w:numId w:val="3"/>
        </w:numPr>
        <w:autoSpaceDE w:val="0"/>
        <w:autoSpaceDN w:val="0"/>
        <w:adjustRightInd w:val="0"/>
        <w:spacing w:line="256" w:lineRule="auto"/>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 xml:space="preserve">The reports should disclose the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compliance status of the overall </w:t>
      </w:r>
      <w:proofErr w:type="spellStart"/>
      <w:r>
        <w:rPr>
          <w:rFonts w:ascii="Times New Roman" w:hAnsi="Times New Roman" w:cs="Times New Roman"/>
          <w:sz w:val="24"/>
          <w:szCs w:val="24"/>
          <w:lang w:val="en-MY" w:eastAsia="en-MY"/>
        </w:rPr>
        <w:t>th</w:t>
      </w:r>
      <w:proofErr w:type="spellEnd"/>
      <w:r>
        <w:rPr>
          <w:rFonts w:ascii="Times New Roman" w:hAnsi="Times New Roman" w:cs="Times New Roman"/>
          <w:sz w:val="24"/>
          <w:szCs w:val="24"/>
          <w:lang w:val="en-MY" w:eastAsia="en-MY"/>
        </w:rPr>
        <w:t xml:space="preserve"> Project as funded by IsDB and any exceptions and rectification measures taken or to be taken and in addition highlight the following:</w:t>
      </w:r>
    </w:p>
    <w:p w14:paraId="6BDA5B63"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Scope of operations audited.</w:t>
      </w:r>
    </w:p>
    <w:p w14:paraId="32F0D5CF"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Nature of audit work performed.</w:t>
      </w:r>
    </w:p>
    <w:p w14:paraId="5C472EF4"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observations, implications with recommendations for improvement. </w:t>
      </w:r>
    </w:p>
    <w:p w14:paraId="31E12ECB"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Timeframes given for implementation of recommendations.</w:t>
      </w:r>
    </w:p>
    <w:p w14:paraId="26CCE7A8"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 xml:space="preserve">Explain the process for rectification of any rectifiable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non-compliant event.</w:t>
      </w:r>
    </w:p>
    <w:p w14:paraId="1DDFDD91"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Explain the process of purification (</w:t>
      </w:r>
      <w:proofErr w:type="spellStart"/>
      <w:r>
        <w:rPr>
          <w:rFonts w:ascii="Times New Roman" w:hAnsi="Times New Roman" w:cs="Times New Roman"/>
          <w:sz w:val="24"/>
          <w:szCs w:val="24"/>
          <w:lang w:val="en-MY" w:eastAsia="en-MY"/>
        </w:rPr>
        <w:t>tanqiyyah</w:t>
      </w:r>
      <w:proofErr w:type="spellEnd"/>
      <w:r>
        <w:rPr>
          <w:rFonts w:ascii="Times New Roman" w:hAnsi="Times New Roman" w:cs="Times New Roman"/>
          <w:sz w:val="24"/>
          <w:szCs w:val="24"/>
          <w:lang w:val="en-MY" w:eastAsia="en-MY"/>
        </w:rPr>
        <w:t>) of tainted (non-permissible) income.</w:t>
      </w:r>
    </w:p>
    <w:p w14:paraId="3043CCBB"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 xml:space="preserve">In the absence of an AAOIFI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rule, any adoption of alternative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rulings other than the AAOIFI International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Standard rulings should be explained with adequate justification.</w:t>
      </w:r>
    </w:p>
    <w:p w14:paraId="3411FF98" w14:textId="77777777" w:rsidR="00E97163" w:rsidRDefault="00C91F39">
      <w:pPr>
        <w:widowControl w:val="0"/>
        <w:numPr>
          <w:ilvl w:val="1"/>
          <w:numId w:val="4"/>
        </w:numPr>
        <w:tabs>
          <w:tab w:val="left" w:pos="1710"/>
        </w:tabs>
        <w:autoSpaceDE w:val="0"/>
        <w:autoSpaceDN w:val="0"/>
        <w:adjustRightInd w:val="0"/>
        <w:spacing w:after="0" w:line="240" w:lineRule="auto"/>
        <w:ind w:left="1170"/>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 xml:space="preserve">In the case of the Quarterly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Review Report, it shall be submitted to IsDB quarterly no later than 30 days after the reporting quarter.</w:t>
      </w:r>
    </w:p>
    <w:p w14:paraId="31874602" w14:textId="77777777" w:rsidR="00E97163" w:rsidRDefault="00C91F39">
      <w:pPr>
        <w:pStyle w:val="ae"/>
        <w:widowControl w:val="0"/>
        <w:numPr>
          <w:ilvl w:val="0"/>
          <w:numId w:val="3"/>
        </w:numPr>
        <w:autoSpaceDE w:val="0"/>
        <w:autoSpaceDN w:val="0"/>
        <w:adjustRightInd w:val="0"/>
        <w:spacing w:line="256" w:lineRule="auto"/>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 xml:space="preserve">Please note that as a minimum requirement all the above items must be contained in the report and where there are no issues to report on any of the items an explicit statement to that effect should be stated by the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Auditor in the report. </w:t>
      </w:r>
    </w:p>
    <w:p w14:paraId="2D9581C3" w14:textId="77777777" w:rsidR="00E97163" w:rsidRDefault="00C91F39">
      <w:pPr>
        <w:pStyle w:val="ae"/>
        <w:widowControl w:val="0"/>
        <w:numPr>
          <w:ilvl w:val="0"/>
          <w:numId w:val="3"/>
        </w:numPr>
        <w:autoSpaceDE w:val="0"/>
        <w:autoSpaceDN w:val="0"/>
        <w:adjustRightInd w:val="0"/>
        <w:spacing w:line="256" w:lineRule="auto"/>
        <w:jc w:val="both"/>
        <w:rPr>
          <w:rFonts w:ascii="Times New Roman" w:hAnsi="Times New Roman" w:cs="Times New Roman"/>
          <w:sz w:val="24"/>
          <w:szCs w:val="24"/>
          <w:lang w:val="en-MY" w:eastAsia="en-MY"/>
        </w:rPr>
      </w:pPr>
      <w:r>
        <w:rPr>
          <w:rFonts w:ascii="Times New Roman" w:hAnsi="Times New Roman" w:cs="Times New Roman"/>
          <w:sz w:val="24"/>
          <w:szCs w:val="24"/>
          <w:lang w:val="en-MY" w:eastAsia="en-MY"/>
        </w:rPr>
        <w:t xml:space="preserve">IsDB retains the right to request a meeting with the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Auditor (Staff or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Scholars) to discuss any </w:t>
      </w:r>
      <w:proofErr w:type="spellStart"/>
      <w:r>
        <w:rPr>
          <w:rFonts w:ascii="Times New Roman" w:hAnsi="Times New Roman" w:cs="Times New Roman"/>
          <w:sz w:val="24"/>
          <w:szCs w:val="24"/>
          <w:lang w:val="en-MY" w:eastAsia="en-MY"/>
        </w:rPr>
        <w:t>Shari’ah</w:t>
      </w:r>
      <w:proofErr w:type="spellEnd"/>
      <w:r>
        <w:rPr>
          <w:rFonts w:ascii="Times New Roman" w:hAnsi="Times New Roman" w:cs="Times New Roman"/>
          <w:sz w:val="24"/>
          <w:szCs w:val="24"/>
          <w:lang w:val="en-MY" w:eastAsia="en-MY"/>
        </w:rPr>
        <w:t xml:space="preserve"> issues pertaining IsDB’s funded project or request any additional information.</w:t>
      </w:r>
    </w:p>
    <w:p w14:paraId="5B9FD0CF" w14:textId="77777777" w:rsidR="00E97163" w:rsidRDefault="00C91F39">
      <w:pPr>
        <w:pStyle w:val="paragraph"/>
        <w:numPr>
          <w:ilvl w:val="0"/>
          <w:numId w:val="3"/>
        </w:numPr>
        <w:spacing w:before="0" w:beforeAutospacing="0" w:after="120" w:afterAutospacing="0" w:line="276" w:lineRule="auto"/>
        <w:jc w:val="both"/>
        <w:textAlignment w:val="baseline"/>
        <w:rPr>
          <w:rStyle w:val="normaltextrun"/>
          <w:color w:val="000000"/>
        </w:rPr>
      </w:pPr>
      <w:r>
        <w:rPr>
          <w:rStyle w:val="normaltextrun"/>
          <w:color w:val="000000"/>
        </w:rPr>
        <w:t>The reports and all correspondence shall be provided in English language.</w:t>
      </w:r>
    </w:p>
    <w:p w14:paraId="1D1A6D2B" w14:textId="77777777" w:rsidR="00E97163" w:rsidRPr="00CD51BD" w:rsidRDefault="00C91F39" w:rsidP="00CD51BD">
      <w:pPr>
        <w:pStyle w:val="paragraph"/>
        <w:shd w:val="clear" w:color="auto" w:fill="FFFFFF"/>
        <w:spacing w:after="0"/>
        <w:jc w:val="both"/>
        <w:textAlignment w:val="baseline"/>
      </w:pPr>
      <w:r w:rsidRPr="00CD51BD">
        <w:t>The audits shall cover structural, transactional, and governance dimensions. Methodologies must align with risk-based auditing, compliance testing, and AAOIFI Governance Standards (GSIFI No. 2)</w:t>
      </w:r>
    </w:p>
    <w:p w14:paraId="19DAC78A" w14:textId="77777777" w:rsidR="00E97163" w:rsidRDefault="00C91F39">
      <w:pPr>
        <w:pStyle w:val="1"/>
        <w:rPr>
          <w:rFonts w:cs="Times New Roman"/>
          <w:szCs w:val="24"/>
        </w:rPr>
      </w:pPr>
      <w:r>
        <w:rPr>
          <w:rFonts w:cs="Times New Roman"/>
          <w:szCs w:val="24"/>
        </w:rPr>
        <w:t xml:space="preserve">Required Expertise and Qualifications  </w:t>
      </w:r>
    </w:p>
    <w:p w14:paraId="7925C675"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rFonts w:eastAsiaTheme="minorHAnsi"/>
          <w:color w:val="000000"/>
        </w:rPr>
      </w:pPr>
      <w:r>
        <w:rPr>
          <w:rStyle w:val="normaltextrun"/>
          <w:color w:val="000000"/>
        </w:rPr>
        <w:t xml:space="preserve">A University Degree in a relevant field (Islamic Economics, Islamic Banking/Finance, Shariah/ Shariah &amp; Law, </w:t>
      </w:r>
      <w:proofErr w:type="spellStart"/>
      <w:r>
        <w:rPr>
          <w:rStyle w:val="normaltextrun"/>
          <w:color w:val="000000"/>
        </w:rPr>
        <w:t>Fiqh</w:t>
      </w:r>
      <w:proofErr w:type="spellEnd"/>
      <w:r>
        <w:rPr>
          <w:rStyle w:val="normaltextrun"/>
          <w:color w:val="000000"/>
        </w:rPr>
        <w:t xml:space="preserve"> </w:t>
      </w:r>
      <w:proofErr w:type="spellStart"/>
      <w:r>
        <w:rPr>
          <w:rStyle w:val="normaltextrun"/>
          <w:color w:val="000000"/>
        </w:rPr>
        <w:t>Muamalat</w:t>
      </w:r>
      <w:proofErr w:type="spellEnd"/>
      <w:r>
        <w:rPr>
          <w:rStyle w:val="normaltextrun"/>
          <w:color w:val="000000"/>
        </w:rPr>
        <w:t>). </w:t>
      </w:r>
    </w:p>
    <w:p w14:paraId="393B61BA"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AAOIFI </w:t>
      </w:r>
      <w:proofErr w:type="spellStart"/>
      <w:r>
        <w:rPr>
          <w:rStyle w:val="normaltextrun"/>
          <w:color w:val="000000"/>
        </w:rPr>
        <w:t>Shari’ah</w:t>
      </w:r>
      <w:proofErr w:type="spellEnd"/>
      <w:r>
        <w:rPr>
          <w:rStyle w:val="normaltextrun"/>
          <w:color w:val="000000"/>
        </w:rPr>
        <w:t xml:space="preserve"> Qualification (CSAA)</w:t>
      </w:r>
    </w:p>
    <w:p w14:paraId="3620F3B6"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 xml:space="preserve">At least 3 years of </w:t>
      </w:r>
      <w:proofErr w:type="spellStart"/>
      <w:r>
        <w:rPr>
          <w:rStyle w:val="normaltextrun"/>
          <w:color w:val="000000"/>
        </w:rPr>
        <w:t>Shari’ah</w:t>
      </w:r>
      <w:proofErr w:type="spellEnd"/>
      <w:r>
        <w:rPr>
          <w:rStyle w:val="normaltextrun"/>
          <w:color w:val="000000"/>
        </w:rPr>
        <w:t xml:space="preserve"> Audit experience in the Islamic Finance sector with demonstrated experience advising governments/ corporates and other stakeholders on Islamic Development Finance.  </w:t>
      </w:r>
    </w:p>
    <w:p w14:paraId="29327079" w14:textId="77777777" w:rsidR="00E97163" w:rsidRDefault="00C91F39">
      <w:pPr>
        <w:pStyle w:val="paragraph"/>
        <w:numPr>
          <w:ilvl w:val="0"/>
          <w:numId w:val="2"/>
        </w:numPr>
        <w:spacing w:before="0" w:beforeAutospacing="0" w:after="120" w:afterAutospacing="0" w:line="276" w:lineRule="auto"/>
        <w:ind w:left="273" w:hanging="187"/>
        <w:jc w:val="both"/>
        <w:textAlignment w:val="baseline"/>
        <w:rPr>
          <w:rStyle w:val="normaltextrun"/>
          <w:color w:val="000000"/>
        </w:rPr>
      </w:pPr>
      <w:r>
        <w:rPr>
          <w:rStyle w:val="normaltextrun"/>
          <w:color w:val="000000"/>
        </w:rPr>
        <w:t>Fluency in English. </w:t>
      </w:r>
    </w:p>
    <w:p w14:paraId="0F11A641" w14:textId="77777777" w:rsidR="00E97163" w:rsidRPr="00CD51BD" w:rsidRDefault="00C91F39">
      <w:pPr>
        <w:rPr>
          <w:rFonts w:ascii="Times New Roman" w:hAnsi="Times New Roman"/>
          <w:sz w:val="24"/>
          <w:szCs w:val="24"/>
        </w:rPr>
      </w:pPr>
      <w:r w:rsidRPr="00CD51BD">
        <w:rPr>
          <w:rStyle w:val="10"/>
        </w:rPr>
        <w:lastRenderedPageBreak/>
        <w:t>Deliverables</w:t>
      </w:r>
      <w:r w:rsidRPr="00CD51BD">
        <w:rPr>
          <w:rStyle w:val="10"/>
        </w:rPr>
        <w:br/>
      </w:r>
      <w:r w:rsidRPr="00CD51BD">
        <w:rPr>
          <w:rFonts w:ascii="Times New Roman" w:hAnsi="Times New Roman"/>
          <w:sz w:val="24"/>
          <w:szCs w:val="24"/>
        </w:rPr>
        <w:t xml:space="preserve">Quarterly </w:t>
      </w:r>
      <w:proofErr w:type="spellStart"/>
      <w:r w:rsidRPr="00CD51BD">
        <w:rPr>
          <w:rFonts w:ascii="Times New Roman" w:hAnsi="Times New Roman"/>
          <w:sz w:val="24"/>
          <w:szCs w:val="24"/>
        </w:rPr>
        <w:t>Shari’ah</w:t>
      </w:r>
      <w:proofErr w:type="spellEnd"/>
      <w:r w:rsidRPr="00CD51BD">
        <w:rPr>
          <w:rFonts w:ascii="Times New Roman" w:hAnsi="Times New Roman"/>
          <w:sz w:val="24"/>
          <w:szCs w:val="24"/>
        </w:rPr>
        <w:t xml:space="preserve"> Audit Reports must include:</w:t>
      </w:r>
      <w:r w:rsidRPr="00CD51BD">
        <w:rPr>
          <w:rFonts w:ascii="Times New Roman" w:hAnsi="Times New Roman"/>
          <w:sz w:val="24"/>
          <w:szCs w:val="24"/>
        </w:rPr>
        <w:br/>
        <w:t>- Scope of operations audited</w:t>
      </w:r>
      <w:r w:rsidRPr="00CD51BD">
        <w:rPr>
          <w:rFonts w:ascii="Times New Roman" w:hAnsi="Times New Roman"/>
          <w:sz w:val="24"/>
          <w:szCs w:val="24"/>
        </w:rPr>
        <w:br/>
        <w:t>- Nature of audit work performed</w:t>
      </w:r>
      <w:r w:rsidRPr="00CD51BD">
        <w:rPr>
          <w:rFonts w:ascii="Times New Roman" w:hAnsi="Times New Roman"/>
          <w:sz w:val="24"/>
          <w:szCs w:val="24"/>
        </w:rPr>
        <w:br/>
        <w:t>- Findings and recommendations</w:t>
      </w:r>
      <w:r w:rsidRPr="00CD51BD">
        <w:rPr>
          <w:rFonts w:ascii="Times New Roman" w:hAnsi="Times New Roman"/>
          <w:sz w:val="24"/>
          <w:szCs w:val="24"/>
        </w:rPr>
        <w:br/>
        <w:t>- Implementation timelines</w:t>
      </w:r>
      <w:r w:rsidRPr="00CD51BD">
        <w:rPr>
          <w:rFonts w:ascii="Times New Roman" w:hAnsi="Times New Roman"/>
          <w:sz w:val="24"/>
          <w:szCs w:val="24"/>
        </w:rPr>
        <w:br/>
        <w:t>- Rectification processes for non-compliance</w:t>
      </w:r>
      <w:r w:rsidRPr="00CD51BD">
        <w:rPr>
          <w:rFonts w:ascii="Times New Roman" w:hAnsi="Times New Roman"/>
          <w:sz w:val="24"/>
          <w:szCs w:val="24"/>
        </w:rPr>
        <w:br/>
        <w:t>- Purification (</w:t>
      </w:r>
      <w:proofErr w:type="spellStart"/>
      <w:r w:rsidRPr="00CD51BD">
        <w:rPr>
          <w:rFonts w:ascii="Times New Roman" w:hAnsi="Times New Roman"/>
          <w:sz w:val="24"/>
          <w:szCs w:val="24"/>
        </w:rPr>
        <w:t>tanqiyyah</w:t>
      </w:r>
      <w:proofErr w:type="spellEnd"/>
      <w:r w:rsidRPr="00CD51BD">
        <w:rPr>
          <w:rFonts w:ascii="Times New Roman" w:hAnsi="Times New Roman"/>
          <w:sz w:val="24"/>
          <w:szCs w:val="24"/>
        </w:rPr>
        <w:t>) of tainted income</w:t>
      </w:r>
      <w:r w:rsidRPr="00CD51BD">
        <w:rPr>
          <w:rFonts w:ascii="Times New Roman" w:hAnsi="Times New Roman"/>
          <w:sz w:val="24"/>
          <w:szCs w:val="24"/>
        </w:rPr>
        <w:br/>
        <w:t>- Justifications for non-AAOIFI rulings, if any</w:t>
      </w:r>
    </w:p>
    <w:p w14:paraId="3323CC5A" w14:textId="77777777" w:rsidR="00E97163" w:rsidRPr="00CD51BD" w:rsidRDefault="00C91F39" w:rsidP="00CD51BD">
      <w:pPr>
        <w:jc w:val="both"/>
        <w:rPr>
          <w:rFonts w:ascii="Times New Roman" w:hAnsi="Times New Roman"/>
          <w:sz w:val="24"/>
          <w:szCs w:val="24"/>
        </w:rPr>
      </w:pPr>
      <w:r w:rsidRPr="00CD51BD">
        <w:rPr>
          <w:rFonts w:ascii="Times New Roman" w:hAnsi="Times New Roman"/>
          <w:sz w:val="24"/>
          <w:szCs w:val="24"/>
        </w:rPr>
        <w:t>Reports are to be submitted to IsDB within 30 days after each quarter. Explicit statements must be included where no issues are observed.</w:t>
      </w:r>
    </w:p>
    <w:p w14:paraId="7F637022" w14:textId="77777777" w:rsidR="00E97163" w:rsidRPr="00CD51BD" w:rsidRDefault="00C91F39">
      <w:pPr>
        <w:pStyle w:val="1"/>
        <w:rPr>
          <w:szCs w:val="24"/>
        </w:rPr>
      </w:pPr>
      <w:r w:rsidRPr="00CD51BD">
        <w:rPr>
          <w:szCs w:val="24"/>
        </w:rPr>
        <w:t>Duration and Level of Effort</w:t>
      </w:r>
      <w:r w:rsidRPr="00CD51BD">
        <w:rPr>
          <w:szCs w:val="24"/>
        </w:rPr>
        <w:br/>
      </w:r>
      <w:r w:rsidRPr="00CD51BD">
        <w:rPr>
          <w:rFonts w:eastAsiaTheme="minorHAnsi" w:cstheme="minorBidi"/>
          <w:b w:val="0"/>
          <w:color w:val="auto"/>
          <w:szCs w:val="24"/>
        </w:rPr>
        <w:t>The assignment will run from Q1 2026 through December 2027. Estimated level of effort: 6 professional staff-months (intermittent).</w:t>
      </w:r>
    </w:p>
    <w:p w14:paraId="24D1C795" w14:textId="77777777" w:rsidR="00E97163" w:rsidRDefault="00C91F39">
      <w:pPr>
        <w:pStyle w:val="1"/>
      </w:pPr>
      <w:r>
        <w:t>Access and Cooperation</w:t>
      </w:r>
    </w:p>
    <w:p w14:paraId="1EE26317" w14:textId="77777777" w:rsidR="00E97163" w:rsidRDefault="00C91F39">
      <w:pPr>
        <w:pStyle w:val="ac"/>
      </w:pPr>
      <w:r>
        <w:t xml:space="preserve">1. The </w:t>
      </w:r>
      <w:proofErr w:type="spellStart"/>
      <w:r>
        <w:t>Shari’ah</w:t>
      </w:r>
      <w:proofErr w:type="spellEnd"/>
      <w:r>
        <w:t xml:space="preserve"> Auditor shall have unrestricted access to all relevant documentation required to assess </w:t>
      </w:r>
      <w:proofErr w:type="spellStart"/>
      <w:r>
        <w:t>Shari’ah</w:t>
      </w:r>
      <w:proofErr w:type="spellEnd"/>
      <w:r>
        <w:t xml:space="preserve"> compliance. This includes: Financing Agreements, Framework and Agency Agreements, Subsidiary Financing Agreements, procurement contracts, disbursement records, and etc.</w:t>
      </w:r>
    </w:p>
    <w:p w14:paraId="6E003987" w14:textId="77777777" w:rsidR="00E97163" w:rsidRDefault="00C91F39">
      <w:pPr>
        <w:pStyle w:val="ac"/>
      </w:pPr>
      <w:r>
        <w:t xml:space="preserve">3.2 The Auditor shall also can be granted access to financial records, management reports, and minutes of relevant decision-making meetings as required to support </w:t>
      </w:r>
      <w:proofErr w:type="spellStart"/>
      <w:r>
        <w:t>Shari’ah</w:t>
      </w:r>
      <w:proofErr w:type="spellEnd"/>
      <w:r>
        <w:t xml:space="preserve"> assessments.</w:t>
      </w:r>
    </w:p>
    <w:p w14:paraId="19ABD786" w14:textId="77777777" w:rsidR="00E97163" w:rsidRDefault="00C91F39">
      <w:pPr>
        <w:pStyle w:val="ac"/>
      </w:pPr>
      <w:r>
        <w:t xml:space="preserve">3.3 The Executing Agency must provide the </w:t>
      </w:r>
      <w:proofErr w:type="spellStart"/>
      <w:r>
        <w:t>Shari’ah</w:t>
      </w:r>
      <w:proofErr w:type="spellEnd"/>
      <w:r>
        <w:t xml:space="preserve"> Auditor with all information requested in a timely and transparent manner. Any restriction in access shall be promptly reported to IsDB.</w:t>
      </w:r>
    </w:p>
    <w:p w14:paraId="7077DD4F" w14:textId="77777777" w:rsidR="00E97163" w:rsidRDefault="00C91F39">
      <w:pPr>
        <w:pStyle w:val="ac"/>
      </w:pPr>
      <w:r>
        <w:t xml:space="preserve">3.4 The Islamic Development Bank reserves the right to request meetings or site visits with the </w:t>
      </w:r>
      <w:proofErr w:type="spellStart"/>
      <w:r>
        <w:t>Shari’ah</w:t>
      </w:r>
      <w:proofErr w:type="spellEnd"/>
      <w:r>
        <w:t xml:space="preserve"> Auditor (including </w:t>
      </w:r>
      <w:proofErr w:type="spellStart"/>
      <w:r>
        <w:t>Shari’ah</w:t>
      </w:r>
      <w:proofErr w:type="spellEnd"/>
      <w:r>
        <w:t xml:space="preserve"> scholars or audit staff), review working papers, or request clarification on audit findings at any time during or up to two years after the audit period.</w:t>
      </w:r>
    </w:p>
    <w:p w14:paraId="4172114A" w14:textId="77777777" w:rsidR="00E97163" w:rsidRDefault="00E97163">
      <w:pPr>
        <w:jc w:val="both"/>
      </w:pPr>
    </w:p>
    <w:p w14:paraId="500E2BCF" w14:textId="77777777" w:rsidR="00E97163" w:rsidRPr="00CD51BD" w:rsidRDefault="00C91F39" w:rsidP="00CD51BD">
      <w:pPr>
        <w:pStyle w:val="1"/>
        <w:jc w:val="both"/>
      </w:pPr>
      <w:r w:rsidRPr="00CD51BD">
        <w:t>Language Requirement</w:t>
      </w:r>
    </w:p>
    <w:p w14:paraId="4AB37B91" w14:textId="77777777" w:rsidR="00E97163" w:rsidRPr="00CD51BD" w:rsidRDefault="00C91F39">
      <w:pPr>
        <w:jc w:val="both"/>
        <w:rPr>
          <w:rFonts w:ascii="Times New Roman" w:hAnsi="Times New Roman"/>
          <w:sz w:val="24"/>
          <w:szCs w:val="24"/>
        </w:rPr>
      </w:pPr>
      <w:r w:rsidRPr="00CD51BD">
        <w:rPr>
          <w:rFonts w:ascii="Times New Roman" w:hAnsi="Times New Roman"/>
          <w:sz w:val="24"/>
          <w:szCs w:val="24"/>
        </w:rPr>
        <w:t>All deliverables, working papers, and correspondence must be in English.</w:t>
      </w:r>
    </w:p>
    <w:p w14:paraId="62983B92" w14:textId="77777777" w:rsidR="00E97163" w:rsidRPr="00CD51BD" w:rsidRDefault="00C91F39" w:rsidP="00CD51BD">
      <w:pPr>
        <w:pStyle w:val="1"/>
        <w:jc w:val="both"/>
      </w:pPr>
      <w:r w:rsidRPr="00CD51BD">
        <w:t>Recordkeeping</w:t>
      </w:r>
    </w:p>
    <w:p w14:paraId="05323E56" w14:textId="77777777" w:rsidR="00E97163" w:rsidRDefault="00C91F39">
      <w:pPr>
        <w:jc w:val="both"/>
        <w:rPr>
          <w:rFonts w:ascii="Times New Roman" w:hAnsi="Times New Roman"/>
          <w:sz w:val="24"/>
          <w:szCs w:val="24"/>
        </w:rPr>
      </w:pPr>
      <w:r>
        <w:rPr>
          <w:rFonts w:ascii="Times New Roman" w:hAnsi="Times New Roman"/>
          <w:sz w:val="24"/>
          <w:szCs w:val="24"/>
        </w:rPr>
        <w:t xml:space="preserve">Final versions of the TOR, </w:t>
      </w:r>
      <w:proofErr w:type="spellStart"/>
      <w:r>
        <w:rPr>
          <w:rFonts w:ascii="Times New Roman" w:hAnsi="Times New Roman"/>
          <w:sz w:val="24"/>
          <w:szCs w:val="24"/>
        </w:rPr>
        <w:t>REoI</w:t>
      </w:r>
      <w:proofErr w:type="spellEnd"/>
      <w:r>
        <w:rPr>
          <w:rFonts w:ascii="Times New Roman" w:hAnsi="Times New Roman"/>
          <w:sz w:val="24"/>
          <w:szCs w:val="24"/>
        </w:rPr>
        <w:t>, shortlist evaluation, and EOIs must be submitted to IsDB for documentation and audit trail purposes.</w:t>
      </w:r>
    </w:p>
    <w:p w14:paraId="738E2B1A" w14:textId="77777777" w:rsidR="00E97163" w:rsidRDefault="00E97163">
      <w:pPr>
        <w:jc w:val="both"/>
        <w:rPr>
          <w:rFonts w:ascii="Times New Roman" w:hAnsi="Times New Roman"/>
          <w:sz w:val="24"/>
          <w:szCs w:val="24"/>
        </w:rPr>
      </w:pPr>
    </w:p>
    <w:sectPr w:rsidR="00E971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E009" w14:textId="77777777" w:rsidR="00893C81" w:rsidRDefault="00893C81">
      <w:pPr>
        <w:spacing w:line="240" w:lineRule="auto"/>
      </w:pPr>
      <w:r>
        <w:separator/>
      </w:r>
    </w:p>
  </w:endnote>
  <w:endnote w:type="continuationSeparator" w:id="0">
    <w:p w14:paraId="03A8E843" w14:textId="77777777" w:rsidR="00893C81" w:rsidRDefault="00893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Roboto Light">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DB77" w14:textId="77777777" w:rsidR="00893C81" w:rsidRDefault="00893C81">
      <w:pPr>
        <w:spacing w:after="0"/>
      </w:pPr>
      <w:r>
        <w:separator/>
      </w:r>
    </w:p>
  </w:footnote>
  <w:footnote w:type="continuationSeparator" w:id="0">
    <w:p w14:paraId="4B28CE34" w14:textId="77777777" w:rsidR="00893C81" w:rsidRDefault="00893C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4FA5" w14:textId="77777777" w:rsidR="00E97163" w:rsidRDefault="00C91F39">
    <w:pPr>
      <w:pStyle w:val="aa"/>
    </w:pPr>
    <w:r>
      <w:rPr>
        <w:noProof/>
      </w:rPr>
      <mc:AlternateContent>
        <mc:Choice Requires="wps">
          <w:drawing>
            <wp:anchor distT="0" distB="0" distL="114300" distR="114300" simplePos="0" relativeHeight="251659264" behindDoc="0" locked="0" layoutInCell="0" allowOverlap="1" wp14:anchorId="2C1DE7C4" wp14:editId="12511AC1">
              <wp:simplePos x="0" y="0"/>
              <wp:positionH relativeFrom="page">
                <wp:posOffset>0</wp:posOffset>
              </wp:positionH>
              <wp:positionV relativeFrom="page">
                <wp:posOffset>190500</wp:posOffset>
              </wp:positionV>
              <wp:extent cx="7772400" cy="273685"/>
              <wp:effectExtent l="0" t="0" r="0" b="2540"/>
              <wp:wrapNone/>
              <wp:docPr id="1" name="MSIPCMdcdc43d4bbae75ccc38a3e3d" descr="{&quot;HashCode&quot;:-1813103172,&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C7C1BB4" w14:textId="77777777" w:rsidR="00E97163" w:rsidRDefault="00C91F39">
                          <w:pPr>
                            <w:spacing w:after="0"/>
                            <w:rPr>
                              <w:rFonts w:ascii="Calibri" w:hAnsi="Calibri" w:cs="Calibri"/>
                              <w:color w:val="000000"/>
                              <w:sz w:val="20"/>
                            </w:rPr>
                          </w:pPr>
                          <w:r>
                            <w:rPr>
                              <w:rFonts w:ascii="Calibri" w:hAnsi="Calibri" w:cs="Calibri"/>
                              <w:color w:val="000000"/>
                              <w:sz w:val="20"/>
                            </w:rPr>
                            <w:t>Protected</w:t>
                          </w:r>
                        </w:p>
                      </w:txbxContent>
                    </wps:txbx>
                    <wps:bodyPr rot="0" vert="horz" wrap="square" lIns="254000" tIns="0" rIns="91440" bIns="0" anchor="t" anchorCtr="0" upright="1">
                      <a:noAutofit/>
                    </wps:bodyPr>
                  </wps:wsp>
                </a:graphicData>
              </a:graphic>
            </wp:anchor>
          </w:drawing>
        </mc:Choice>
        <mc:Fallback xmlns:wpsCustomData="http://www.wps.cn/officeDocument/2013/wpsCustomData">
          <w:pict>
            <v:shape id="MSIPCMdcdc43d4bbae75ccc38a3e3d" o:spid="_x0000_s1026" o:spt="202" alt="{&quot;HashCode&quot;:-1813103172,&quot;Height&quot;:792.0,&quot;Width&quot;:612.0,&quot;Placement&quot;:&quot;Header&quot;,&quot;Index&quot;:&quot;Primary&quot;,&quot;Section&quot;:1,&quot;Top&quot;:0.0,&quot;Left&quot;:0.0}" type="#_x0000_t202" style="position:absolute;left:0pt;margin-left:0pt;margin-top:15pt;height:21.55pt;width:612pt;mso-position-horizontal-relative:page;mso-position-vertical-relative:page;z-index:251659264;mso-width-relative:page;mso-height-relative:page;" filled="f" stroked="f" coordsize="21600,21600" o:allowincell="f" o:gfxdata="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LsGRq2AAAAAcBAAAPAAAA&#10;AAAAAAEAIAAAACIAAABkcnMvZG93bnJldi54bWxQSwECFAAUAAAACACHTuJAs8/3O4cCAAALBQAA&#10;DgAAAAAAAAABACAAAAAnAQAAZHJzL2Uyb0RvYy54bWxQSwUGAAAAAAYABgBZAQAAIAYAAAAA&#10;">
              <v:fill on="f" focussize="0,0"/>
              <v:stroke on="f"/>
              <v:imagedata o:title=""/>
              <o:lock v:ext="edit" aspectratio="f"/>
              <v:textbox inset="20pt,0mm,2.54mm,0mm">
                <w:txbxContent>
                  <w:p w14:paraId="6E614FED">
                    <w:pPr>
                      <w:spacing w:after="0"/>
                      <w:rPr>
                        <w:rFonts w:ascii="Calibri" w:hAnsi="Calibri" w:cs="Calibri"/>
                        <w:color w:val="000000"/>
                        <w:sz w:val="20"/>
                      </w:rPr>
                    </w:pPr>
                    <w:r>
                      <w:rPr>
                        <w:rFonts w:ascii="Calibri" w:hAnsi="Calibri" w:cs="Calibri"/>
                        <w:color w:val="000000"/>
                        <w:sz w:val="20"/>
                      </w:rPr>
                      <w:t>Protected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1155B"/>
    <w:multiLevelType w:val="multilevel"/>
    <w:tmpl w:val="42D11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0916BF"/>
    <w:multiLevelType w:val="multilevel"/>
    <w:tmpl w:val="6A0916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6D0B119B"/>
    <w:multiLevelType w:val="multilevel"/>
    <w:tmpl w:val="6D0B119B"/>
    <w:lvl w:ilvl="0">
      <w:start w:val="1"/>
      <w:numFmt w:val="lowerRoman"/>
      <w:lvlText w:val="(%1)"/>
      <w:lvlJc w:val="left"/>
      <w:pPr>
        <w:tabs>
          <w:tab w:val="left" w:pos="1221"/>
        </w:tabs>
        <w:ind w:left="1221" w:hanging="360"/>
      </w:pPr>
      <w:rPr>
        <w:rFonts w:ascii="Calibri" w:eastAsia="SimSun" w:hAnsi="Calibri" w:cs="Times New Roman"/>
      </w:rPr>
    </w:lvl>
    <w:lvl w:ilvl="1">
      <w:start w:val="1"/>
      <w:numFmt w:val="lowerLetter"/>
      <w:lvlText w:val="%2."/>
      <w:lvlJc w:val="left"/>
      <w:pPr>
        <w:tabs>
          <w:tab w:val="left" w:pos="1941"/>
        </w:tabs>
        <w:ind w:left="1941" w:hanging="360"/>
      </w:pPr>
    </w:lvl>
    <w:lvl w:ilvl="2">
      <w:start w:val="1"/>
      <w:numFmt w:val="lowerRoman"/>
      <w:lvlText w:val="%3."/>
      <w:lvlJc w:val="right"/>
      <w:pPr>
        <w:tabs>
          <w:tab w:val="left" w:pos="2661"/>
        </w:tabs>
        <w:ind w:left="2661" w:hanging="180"/>
      </w:pPr>
    </w:lvl>
    <w:lvl w:ilvl="3">
      <w:start w:val="1"/>
      <w:numFmt w:val="decimal"/>
      <w:lvlText w:val="%4."/>
      <w:lvlJc w:val="left"/>
      <w:pPr>
        <w:tabs>
          <w:tab w:val="left" w:pos="3381"/>
        </w:tabs>
        <w:ind w:left="3381" w:hanging="360"/>
      </w:pPr>
    </w:lvl>
    <w:lvl w:ilvl="4">
      <w:start w:val="1"/>
      <w:numFmt w:val="lowerLetter"/>
      <w:lvlText w:val="%5."/>
      <w:lvlJc w:val="left"/>
      <w:pPr>
        <w:tabs>
          <w:tab w:val="left" w:pos="4101"/>
        </w:tabs>
        <w:ind w:left="4101" w:hanging="360"/>
      </w:pPr>
    </w:lvl>
    <w:lvl w:ilvl="5">
      <w:start w:val="1"/>
      <w:numFmt w:val="lowerRoman"/>
      <w:lvlText w:val="%6."/>
      <w:lvlJc w:val="right"/>
      <w:pPr>
        <w:tabs>
          <w:tab w:val="left" w:pos="4821"/>
        </w:tabs>
        <w:ind w:left="4821" w:hanging="180"/>
      </w:pPr>
    </w:lvl>
    <w:lvl w:ilvl="6">
      <w:start w:val="1"/>
      <w:numFmt w:val="decimal"/>
      <w:lvlText w:val="%7."/>
      <w:lvlJc w:val="left"/>
      <w:pPr>
        <w:tabs>
          <w:tab w:val="left" w:pos="5541"/>
        </w:tabs>
        <w:ind w:left="5541" w:hanging="360"/>
      </w:pPr>
    </w:lvl>
    <w:lvl w:ilvl="7">
      <w:start w:val="1"/>
      <w:numFmt w:val="lowerLetter"/>
      <w:lvlText w:val="%8."/>
      <w:lvlJc w:val="left"/>
      <w:pPr>
        <w:tabs>
          <w:tab w:val="left" w:pos="6261"/>
        </w:tabs>
        <w:ind w:left="6261" w:hanging="360"/>
      </w:pPr>
    </w:lvl>
    <w:lvl w:ilvl="8">
      <w:start w:val="1"/>
      <w:numFmt w:val="lowerRoman"/>
      <w:lvlText w:val="%9."/>
      <w:lvlJc w:val="right"/>
      <w:pPr>
        <w:tabs>
          <w:tab w:val="left" w:pos="6981"/>
        </w:tabs>
        <w:ind w:left="6981" w:hanging="180"/>
      </w:pPr>
    </w:lvl>
  </w:abstractNum>
  <w:abstractNum w:abstractNumId="3" w15:restartNumberingAfterBreak="0">
    <w:nsid w:val="7B181987"/>
    <w:multiLevelType w:val="multilevel"/>
    <w:tmpl w:val="7B181987"/>
    <w:lvl w:ilvl="0">
      <w:start w:val="1"/>
      <w:numFmt w:val="none"/>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720"/>
        </w:tabs>
        <w:ind w:left="720" w:hanging="720"/>
      </w:pPr>
      <w:rPr>
        <w:rFonts w:ascii="Times New Roman" w:hAnsi="Times New Roman" w:cs="Times New Roman" w:hint="default"/>
      </w:rPr>
    </w:lvl>
    <w:lvl w:ilvl="2">
      <w:start w:val="1"/>
      <w:numFmt w:val="none"/>
      <w:lvlText w:val=" (a)"/>
      <w:lvlJc w:val="left"/>
      <w:pPr>
        <w:tabs>
          <w:tab w:val="left" w:pos="720"/>
        </w:tabs>
        <w:ind w:left="720" w:hanging="720"/>
      </w:pPr>
      <w:rPr>
        <w:rFonts w:ascii="Times New Roman" w:hAnsi="Times New Roman" w:cs="Times New Roman" w:hint="default"/>
      </w:rPr>
    </w:lvl>
    <w:lvl w:ilvl="3">
      <w:start w:val="1"/>
      <w:numFmt w:val="lowerRoman"/>
      <w:lvlText w:val="(%4)"/>
      <w:lvlJc w:val="left"/>
      <w:pPr>
        <w:tabs>
          <w:tab w:val="left" w:pos="1800"/>
        </w:tabs>
        <w:ind w:left="1080" w:hanging="360"/>
      </w:pPr>
      <w:rPr>
        <w:rFonts w:ascii="Times New Roman" w:hAnsi="Times New Roman" w:cs="Times New Roman" w:hint="default"/>
      </w:rPr>
    </w:lvl>
    <w:lvl w:ilvl="4">
      <w:start w:val="1"/>
      <w:numFmt w:val="lowerLetter"/>
      <w:lvlText w:val="%5."/>
      <w:lvlJc w:val="left"/>
      <w:pPr>
        <w:tabs>
          <w:tab w:val="left" w:pos="1440"/>
        </w:tabs>
        <w:ind w:left="1440" w:hanging="360"/>
      </w:pPr>
      <w:rPr>
        <w:rFonts w:ascii="Times New Roman" w:hAnsi="Times New Roman" w:cs="Times New Roman" w:hint="default"/>
      </w:rPr>
    </w:lvl>
    <w:lvl w:ilvl="5">
      <w:start w:val="1"/>
      <w:numFmt w:val="lowerRoman"/>
      <w:lvlText w:val="%6."/>
      <w:lvlJc w:val="left"/>
      <w:pPr>
        <w:tabs>
          <w:tab w:val="left" w:pos="2160"/>
        </w:tabs>
        <w:ind w:left="1800" w:hanging="360"/>
      </w:pPr>
      <w:rPr>
        <w:rFonts w:ascii="Times New Roman" w:hAnsi="Times New Roman" w:cs="Times New Roman" w:hint="default"/>
      </w:rPr>
    </w:lvl>
    <w:lvl w:ilvl="6">
      <w:start w:val="1"/>
      <w:numFmt w:val="decimal"/>
      <w:lvlText w:val="%7."/>
      <w:lvlJc w:val="left"/>
      <w:pPr>
        <w:tabs>
          <w:tab w:val="left" w:pos="2520"/>
        </w:tabs>
        <w:ind w:left="2520" w:hanging="360"/>
      </w:pPr>
      <w:rPr>
        <w:rFonts w:ascii="Times New Roman" w:hAnsi="Times New Roman" w:cs="Times New Roman" w:hint="default"/>
      </w:rPr>
    </w:lvl>
    <w:lvl w:ilvl="7">
      <w:start w:val="1"/>
      <w:numFmt w:val="lowerLetter"/>
      <w:lvlText w:val="%8."/>
      <w:lvlJc w:val="left"/>
      <w:pPr>
        <w:tabs>
          <w:tab w:val="left" w:pos="2880"/>
        </w:tabs>
        <w:ind w:left="2880" w:hanging="360"/>
      </w:pPr>
      <w:rPr>
        <w:rFonts w:ascii="Times New Roman" w:hAnsi="Times New Roman" w:cs="Times New Roman" w:hint="default"/>
      </w:rPr>
    </w:lvl>
    <w:lvl w:ilvl="8">
      <w:start w:val="1"/>
      <w:numFmt w:val="lowerRoman"/>
      <w:lvlText w:val="%9."/>
      <w:lvlJc w:val="left"/>
      <w:pPr>
        <w:tabs>
          <w:tab w:val="left" w:pos="3240"/>
        </w:tabs>
        <w:ind w:left="3240" w:hanging="36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F9"/>
    <w:rsid w:val="00004DE9"/>
    <w:rsid w:val="00011B1F"/>
    <w:rsid w:val="0003468B"/>
    <w:rsid w:val="00071484"/>
    <w:rsid w:val="00080F65"/>
    <w:rsid w:val="0008292A"/>
    <w:rsid w:val="00095067"/>
    <w:rsid w:val="0009516A"/>
    <w:rsid w:val="000C3BD4"/>
    <w:rsid w:val="000F477A"/>
    <w:rsid w:val="00107CF9"/>
    <w:rsid w:val="0012183B"/>
    <w:rsid w:val="001567ED"/>
    <w:rsid w:val="00161724"/>
    <w:rsid w:val="001702F1"/>
    <w:rsid w:val="00174E73"/>
    <w:rsid w:val="00180889"/>
    <w:rsid w:val="00183E25"/>
    <w:rsid w:val="001D5517"/>
    <w:rsid w:val="001E0C7D"/>
    <w:rsid w:val="001E38E1"/>
    <w:rsid w:val="00205F9A"/>
    <w:rsid w:val="00275DCE"/>
    <w:rsid w:val="002922B4"/>
    <w:rsid w:val="002A2D1A"/>
    <w:rsid w:val="002C3E84"/>
    <w:rsid w:val="002C7E6B"/>
    <w:rsid w:val="002D214D"/>
    <w:rsid w:val="002E0EF8"/>
    <w:rsid w:val="002E2CF8"/>
    <w:rsid w:val="002E3154"/>
    <w:rsid w:val="002F6BAB"/>
    <w:rsid w:val="003108B9"/>
    <w:rsid w:val="00311345"/>
    <w:rsid w:val="003137A7"/>
    <w:rsid w:val="003249AD"/>
    <w:rsid w:val="0037548E"/>
    <w:rsid w:val="00376E6E"/>
    <w:rsid w:val="00380C54"/>
    <w:rsid w:val="003B3C11"/>
    <w:rsid w:val="003C3F06"/>
    <w:rsid w:val="003C443C"/>
    <w:rsid w:val="003D36AA"/>
    <w:rsid w:val="004015B3"/>
    <w:rsid w:val="00420057"/>
    <w:rsid w:val="004257FB"/>
    <w:rsid w:val="00426455"/>
    <w:rsid w:val="00434A0A"/>
    <w:rsid w:val="00444D5A"/>
    <w:rsid w:val="0044614E"/>
    <w:rsid w:val="0047048C"/>
    <w:rsid w:val="004A427F"/>
    <w:rsid w:val="004B78D5"/>
    <w:rsid w:val="004C4237"/>
    <w:rsid w:val="004C5DBE"/>
    <w:rsid w:val="004F4BED"/>
    <w:rsid w:val="004F5E56"/>
    <w:rsid w:val="00501314"/>
    <w:rsid w:val="005304F4"/>
    <w:rsid w:val="00581C04"/>
    <w:rsid w:val="00585C38"/>
    <w:rsid w:val="005A44D3"/>
    <w:rsid w:val="005B151F"/>
    <w:rsid w:val="005D4BAC"/>
    <w:rsid w:val="00604FC0"/>
    <w:rsid w:val="00633B3A"/>
    <w:rsid w:val="006358D9"/>
    <w:rsid w:val="00665F08"/>
    <w:rsid w:val="0067482B"/>
    <w:rsid w:val="00676D76"/>
    <w:rsid w:val="006A7083"/>
    <w:rsid w:val="006C644B"/>
    <w:rsid w:val="00702964"/>
    <w:rsid w:val="007044D0"/>
    <w:rsid w:val="00705677"/>
    <w:rsid w:val="00706FDB"/>
    <w:rsid w:val="00725FC7"/>
    <w:rsid w:val="007542C4"/>
    <w:rsid w:val="00762194"/>
    <w:rsid w:val="00767B8F"/>
    <w:rsid w:val="00785F2B"/>
    <w:rsid w:val="00787B0A"/>
    <w:rsid w:val="007C36C5"/>
    <w:rsid w:val="007E360F"/>
    <w:rsid w:val="007E3633"/>
    <w:rsid w:val="007F0098"/>
    <w:rsid w:val="00834985"/>
    <w:rsid w:val="00851440"/>
    <w:rsid w:val="00867822"/>
    <w:rsid w:val="008800BE"/>
    <w:rsid w:val="00893C81"/>
    <w:rsid w:val="00896EBF"/>
    <w:rsid w:val="008A7132"/>
    <w:rsid w:val="008B65D0"/>
    <w:rsid w:val="008B7305"/>
    <w:rsid w:val="008D0B39"/>
    <w:rsid w:val="008E3DC7"/>
    <w:rsid w:val="008E70A7"/>
    <w:rsid w:val="009365D7"/>
    <w:rsid w:val="00966082"/>
    <w:rsid w:val="00966B20"/>
    <w:rsid w:val="00993397"/>
    <w:rsid w:val="009B0F97"/>
    <w:rsid w:val="009B2271"/>
    <w:rsid w:val="009C7006"/>
    <w:rsid w:val="009E123A"/>
    <w:rsid w:val="00A12563"/>
    <w:rsid w:val="00A94DF9"/>
    <w:rsid w:val="00A95CD1"/>
    <w:rsid w:val="00AD3452"/>
    <w:rsid w:val="00AE33A3"/>
    <w:rsid w:val="00B025EF"/>
    <w:rsid w:val="00B17F71"/>
    <w:rsid w:val="00B20A45"/>
    <w:rsid w:val="00B37AA1"/>
    <w:rsid w:val="00B4270E"/>
    <w:rsid w:val="00B5384D"/>
    <w:rsid w:val="00B604A3"/>
    <w:rsid w:val="00B61F7A"/>
    <w:rsid w:val="00B62456"/>
    <w:rsid w:val="00B80CA6"/>
    <w:rsid w:val="00BA1626"/>
    <w:rsid w:val="00BB0714"/>
    <w:rsid w:val="00BE0370"/>
    <w:rsid w:val="00BE5CD6"/>
    <w:rsid w:val="00C17DC6"/>
    <w:rsid w:val="00C214E5"/>
    <w:rsid w:val="00C36665"/>
    <w:rsid w:val="00C570A0"/>
    <w:rsid w:val="00C70DAD"/>
    <w:rsid w:val="00C879BE"/>
    <w:rsid w:val="00C91F39"/>
    <w:rsid w:val="00CA2953"/>
    <w:rsid w:val="00CB5F77"/>
    <w:rsid w:val="00CD51BD"/>
    <w:rsid w:val="00CE34AF"/>
    <w:rsid w:val="00D3527E"/>
    <w:rsid w:val="00D5532C"/>
    <w:rsid w:val="00D5592C"/>
    <w:rsid w:val="00D66D8E"/>
    <w:rsid w:val="00D763E8"/>
    <w:rsid w:val="00D87CAD"/>
    <w:rsid w:val="00D87E15"/>
    <w:rsid w:val="00D9205D"/>
    <w:rsid w:val="00DE0B80"/>
    <w:rsid w:val="00DE5F9B"/>
    <w:rsid w:val="00DF742E"/>
    <w:rsid w:val="00E275EA"/>
    <w:rsid w:val="00E414B9"/>
    <w:rsid w:val="00E8031F"/>
    <w:rsid w:val="00E97163"/>
    <w:rsid w:val="00EA4978"/>
    <w:rsid w:val="00EC0560"/>
    <w:rsid w:val="00EE6EFA"/>
    <w:rsid w:val="00EF4D04"/>
    <w:rsid w:val="00F1073B"/>
    <w:rsid w:val="00F11E79"/>
    <w:rsid w:val="00F23582"/>
    <w:rsid w:val="00F83FB0"/>
    <w:rsid w:val="00FB7474"/>
    <w:rsid w:val="00FD3DBE"/>
    <w:rsid w:val="00FE1358"/>
    <w:rsid w:val="00FE1A90"/>
    <w:rsid w:val="00FE6EE8"/>
    <w:rsid w:val="7A3400AA"/>
    <w:rsid w:val="7E404B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3FECB"/>
  <w15:docId w15:val="{833A62CF-864B-4768-A567-9D5DEA71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qFormat="1"/>
    <w:lsdException w:name="Light List" w:uiPriority="61" w:qFormat="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next w:val="a"/>
    <w:link w:val="10"/>
    <w:autoRedefine/>
    <w:uiPriority w:val="9"/>
    <w:qFormat/>
    <w:pPr>
      <w:keepNext/>
      <w:keepLines/>
      <w:spacing w:before="240" w:after="120" w:line="259" w:lineRule="auto"/>
      <w:outlineLvl w:val="0"/>
    </w:pPr>
    <w:rPr>
      <w:rFonts w:ascii="Times New Roman" w:eastAsia="Arial" w:hAnsi="Times New Roman" w:cs="Arial"/>
      <w:b/>
      <w:color w:val="000000"/>
      <w:sz w:val="24"/>
      <w:szCs w:val="2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unhideWhenUsed/>
    <w:qFormat/>
    <w:pPr>
      <w:spacing w:after="3" w:line="240" w:lineRule="auto"/>
      <w:ind w:left="10" w:hanging="10"/>
      <w:jc w:val="both"/>
    </w:pPr>
    <w:rPr>
      <w:rFonts w:ascii="Arial" w:eastAsia="Arial" w:hAnsi="Arial" w:cs="Arial"/>
      <w:color w:val="000000"/>
      <w:sz w:val="20"/>
      <w:szCs w:val="20"/>
    </w:rPr>
  </w:style>
  <w:style w:type="paragraph" w:styleId="a6">
    <w:name w:val="annotation subject"/>
    <w:basedOn w:val="a4"/>
    <w:next w:val="a4"/>
    <w:link w:val="a7"/>
    <w:uiPriority w:val="99"/>
    <w:semiHidden/>
    <w:unhideWhenUsed/>
    <w:qFormat/>
    <w:pPr>
      <w:spacing w:after="160"/>
      <w:ind w:left="0" w:firstLine="0"/>
      <w:jc w:val="left"/>
    </w:pPr>
    <w:rPr>
      <w:rFonts w:asciiTheme="minorHAnsi" w:eastAsiaTheme="minorHAnsi" w:hAnsiTheme="minorHAnsi" w:cstheme="minorBidi"/>
      <w:b/>
      <w:bCs/>
      <w:color w:val="auto"/>
    </w:rPr>
  </w:style>
  <w:style w:type="paragraph" w:styleId="a8">
    <w:name w:val="footer"/>
    <w:basedOn w:val="a"/>
    <w:link w:val="a9"/>
    <w:uiPriority w:val="99"/>
    <w:unhideWhenUsed/>
    <w:pPr>
      <w:tabs>
        <w:tab w:val="center" w:pos="4680"/>
        <w:tab w:val="right" w:pos="9360"/>
      </w:tabs>
      <w:spacing w:after="0" w:line="240" w:lineRule="auto"/>
    </w:pPr>
  </w:style>
  <w:style w:type="paragraph" w:styleId="aa">
    <w:name w:val="header"/>
    <w:basedOn w:val="a"/>
    <w:link w:val="ab"/>
    <w:uiPriority w:val="99"/>
    <w:unhideWhenUsed/>
    <w:qFormat/>
    <w:pPr>
      <w:tabs>
        <w:tab w:val="center" w:pos="4680"/>
        <w:tab w:val="right" w:pos="9360"/>
      </w:tabs>
      <w:spacing w:after="0" w:line="240" w:lineRule="auto"/>
    </w:p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Pr>
      <w:b/>
      <w:bCs/>
    </w:rPr>
  </w:style>
  <w:style w:type="character" w:customStyle="1" w:styleId="ab">
    <w:name w:val="Верхний колонтитул Знак"/>
    <w:basedOn w:val="a0"/>
    <w:link w:val="aa"/>
    <w:uiPriority w:val="99"/>
    <w:qFormat/>
  </w:style>
  <w:style w:type="character" w:customStyle="1" w:styleId="a9">
    <w:name w:val="Нижний колонтитул Знак"/>
    <w:basedOn w:val="a0"/>
    <w:link w:val="a8"/>
    <w:uiPriority w:val="99"/>
    <w:qFormat/>
  </w:style>
  <w:style w:type="paragraph" w:customStyle="1" w:styleId="Default">
    <w:name w:val="Default"/>
    <w:qFormat/>
    <w:pPr>
      <w:autoSpaceDE w:val="0"/>
      <w:autoSpaceDN w:val="0"/>
      <w:adjustRightInd w:val="0"/>
    </w:pPr>
    <w:rPr>
      <w:rFonts w:ascii="Roboto Light" w:hAnsi="Roboto Light" w:cs="Roboto Light"/>
      <w:color w:val="000000"/>
      <w:sz w:val="24"/>
      <w:szCs w:val="24"/>
    </w:rPr>
  </w:style>
  <w:style w:type="character" w:customStyle="1" w:styleId="10">
    <w:name w:val="Заголовок 1 Знак"/>
    <w:basedOn w:val="a0"/>
    <w:link w:val="1"/>
    <w:uiPriority w:val="9"/>
    <w:qFormat/>
    <w:rPr>
      <w:rFonts w:ascii="Times New Roman" w:eastAsia="Arial" w:hAnsi="Times New Roman" w:cs="Arial"/>
      <w:b/>
      <w:color w:val="000000"/>
      <w:sz w:val="24"/>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qFormat/>
  </w:style>
  <w:style w:type="character" w:customStyle="1" w:styleId="eop">
    <w:name w:val="eop"/>
    <w:basedOn w:val="a0"/>
    <w:qFormat/>
  </w:style>
  <w:style w:type="character" w:customStyle="1" w:styleId="a5">
    <w:name w:val="Текст примечания Знак"/>
    <w:basedOn w:val="a0"/>
    <w:link w:val="a4"/>
    <w:uiPriority w:val="99"/>
    <w:qFormat/>
    <w:rPr>
      <w:rFonts w:ascii="Arial" w:eastAsia="Arial" w:hAnsi="Arial" w:cs="Arial"/>
      <w:color w:val="000000"/>
      <w:sz w:val="20"/>
      <w:szCs w:val="20"/>
    </w:rPr>
  </w:style>
  <w:style w:type="paragraph" w:styleId="ae">
    <w:name w:val="List Paragraph"/>
    <w:basedOn w:val="a"/>
    <w:uiPriority w:val="34"/>
    <w:qFormat/>
    <w:pPr>
      <w:ind w:left="720"/>
      <w:contextualSpacing/>
    </w:pPr>
  </w:style>
  <w:style w:type="paragraph" w:customStyle="1" w:styleId="11">
    <w:name w:val="Рецензия1"/>
    <w:hidden/>
    <w:uiPriority w:val="99"/>
    <w:semiHidden/>
    <w:qFormat/>
    <w:rPr>
      <w:sz w:val="22"/>
      <w:szCs w:val="22"/>
    </w:rPr>
  </w:style>
  <w:style w:type="character" w:customStyle="1" w:styleId="20">
    <w:name w:val="Заголовок 2 Знак"/>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a7">
    <w:name w:val="Тема примечания Знак"/>
    <w:basedOn w:val="a5"/>
    <w:link w:val="a6"/>
    <w:uiPriority w:val="99"/>
    <w:semiHidden/>
    <w:qFormat/>
    <w:rPr>
      <w:rFonts w:ascii="Arial" w:eastAsia="Arial" w:hAnsi="Arial" w:cs="Arial"/>
      <w:b/>
      <w:bCs/>
      <w:color w:val="000000"/>
      <w:sz w:val="20"/>
      <w:szCs w:val="20"/>
    </w:rPr>
  </w:style>
  <w:style w:type="character" w:customStyle="1" w:styleId="15">
    <w:name w:val="15"/>
    <w:basedOn w:val="a0"/>
    <w:qFormat/>
    <w:rPr>
      <w:rFonts w:ascii="Calibri" w:hAnsi="Calibri" w:cs="Calibri" w:hint="default"/>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Suleiman Dalhatu Sani</dc:creator>
  <cp:lastModifiedBy>Bobur Mirbabaev</cp:lastModifiedBy>
  <cp:revision>3</cp:revision>
  <dcterms:created xsi:type="dcterms:W3CDTF">2025-08-13T07:43:00Z</dcterms:created>
  <dcterms:modified xsi:type="dcterms:W3CDTF">2025-08-13T07:58:00Z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34981fd2edb7a2af261ff9328b723d96b177c7de17a2e1e89df468991df024b6</vt:lpwstr>
  </property>
  <property fmtid="{D5CDD505-2E9C-101B-9397-08002B2CF9AE}" pid="3" name="MSIP_Label_9ef4adf7-25a7-4f52-a61a-df7190f1d881_Enabled">
    <vt:lpwstr>true</vt:lpwstr>
  </property>
  <property fmtid="{D5CDD505-2E9C-101B-9397-08002B2CF9AE}" pid="4" name="MSIP_Label_9ef4adf7-25a7-4f52-a61a-df7190f1d881_SetDate">
    <vt:lpwstr>2023-04-17T05:21:53Z</vt:lpwstr>
  </property>
  <property fmtid="{D5CDD505-2E9C-101B-9397-08002B2CF9AE}" pid="5" name="MSIP_Label_9ef4adf7-25a7-4f52-a61a-df7190f1d881_Method">
    <vt:lpwstr>Standard</vt:lpwstr>
  </property>
  <property fmtid="{D5CDD505-2E9C-101B-9397-08002B2CF9AE}" pid="6" name="MSIP_Label_9ef4adf7-25a7-4f52-a61a-df7190f1d881_Name">
    <vt:lpwstr>Category C - Protected</vt:lpwstr>
  </property>
  <property fmtid="{D5CDD505-2E9C-101B-9397-08002B2CF9AE}" pid="7" name="MSIP_Label_9ef4adf7-25a7-4f52-a61a-df7190f1d881_SiteId">
    <vt:lpwstr>8fa69c26-409d-43e5-973c-17a8be1a7f35</vt:lpwstr>
  </property>
  <property fmtid="{D5CDD505-2E9C-101B-9397-08002B2CF9AE}" pid="8" name="MSIP_Label_9ef4adf7-25a7-4f52-a61a-df7190f1d881_ActionId">
    <vt:lpwstr>979a5749-3ecf-46b9-95fd-b55bd13147d4</vt:lpwstr>
  </property>
  <property fmtid="{D5CDD505-2E9C-101B-9397-08002B2CF9AE}" pid="9" name="MSIP_Label_9ef4adf7-25a7-4f52-a61a-df7190f1d881_ContentBits">
    <vt:lpwstr>1</vt:lpwstr>
  </property>
  <property fmtid="{D5CDD505-2E9C-101B-9397-08002B2CF9AE}" pid="10" name="KSOProductBuildVer">
    <vt:lpwstr>1033-12.2.0.21931</vt:lpwstr>
  </property>
  <property fmtid="{D5CDD505-2E9C-101B-9397-08002B2CF9AE}" pid="11" name="ICV">
    <vt:lpwstr>1385C4B3DF204DFEB9BD68B8C393CD53_13</vt:lpwstr>
  </property>
</Properties>
</file>