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13F9" w14:textId="77777777" w:rsidR="00024CF8" w:rsidRDefault="00024CF8"/>
    <w:p w14:paraId="28F40A68" w14:textId="77777777" w:rsidR="00024CF8" w:rsidRDefault="00000000">
      <w:pPr>
        <w:jc w:val="center"/>
      </w:pPr>
      <w:r>
        <w:rPr>
          <w:color w:val="0D4A52"/>
        </w:rPr>
        <w:t>Resilience and Climate Action Department (RCA)</w:t>
      </w:r>
    </w:p>
    <w:p w14:paraId="353FFD9E" w14:textId="77777777" w:rsidR="00024CF8" w:rsidRDefault="00024CF8"/>
    <w:p w14:paraId="72F154F6" w14:textId="77777777" w:rsidR="00024CF8" w:rsidRDefault="00024CF8">
      <w:pPr>
        <w:pBdr>
          <w:bottom w:val="single" w:sz="6" w:space="1" w:color="0D4A52"/>
        </w:pBdr>
        <w:spacing w:before="40" w:after="40"/>
      </w:pPr>
    </w:p>
    <w:p w14:paraId="2F5554E8" w14:textId="77777777" w:rsidR="00024CF8" w:rsidRDefault="00024CF8"/>
    <w:p w14:paraId="77A725B7" w14:textId="77777777" w:rsidR="00024CF8" w:rsidRDefault="00000000">
      <w:pPr>
        <w:jc w:val="center"/>
      </w:pPr>
      <w:r>
        <w:rPr>
          <w:rFonts w:ascii="Oswald" w:eastAsia="Oswald" w:hAnsi="Oswald" w:cs="Oswald"/>
          <w:b/>
          <w:color w:val="0D4A52"/>
          <w:sz w:val="44"/>
        </w:rPr>
        <w:t>REQUEST FOR EXPRESSION OF INTEREST</w:t>
      </w:r>
    </w:p>
    <w:p w14:paraId="625ECAB9" w14:textId="77777777" w:rsidR="00024CF8" w:rsidRDefault="00000000">
      <w:pPr>
        <w:jc w:val="center"/>
      </w:pPr>
      <w:r>
        <w:rPr>
          <w:rFonts w:ascii="Oswald" w:eastAsia="Oswald" w:hAnsi="Oswald" w:cs="Oswald"/>
          <w:color w:val="0D4A52"/>
          <w:sz w:val="32"/>
        </w:rPr>
        <w:t>SELECTION OF INDIVIDUAL CONSULTANTS</w:t>
      </w:r>
    </w:p>
    <w:p w14:paraId="6994151D" w14:textId="77777777" w:rsidR="00024CF8" w:rsidRDefault="00024CF8"/>
    <w:p w14:paraId="70FAE7AD" w14:textId="77777777" w:rsidR="00024CF8" w:rsidRDefault="00000000">
      <w:pPr>
        <w:jc w:val="center"/>
      </w:pPr>
      <w:r>
        <w:rPr>
          <w:rFonts w:ascii="Oswald" w:eastAsia="Oswald" w:hAnsi="Oswald" w:cs="Oswald"/>
          <w:b/>
          <w:color w:val="0D4A52"/>
          <w:sz w:val="28"/>
        </w:rPr>
        <w:t>Response, Recovery and Resilience (3R) Facility</w:t>
      </w:r>
    </w:p>
    <w:p w14:paraId="6496D87F" w14:textId="77777777" w:rsidR="00024CF8" w:rsidRDefault="00000000">
      <w:pPr>
        <w:jc w:val="center"/>
      </w:pPr>
      <w:r>
        <w:rPr>
          <w:color w:val="1A7087"/>
          <w:sz w:val="26"/>
        </w:rPr>
        <w:t>2026 – 2030</w:t>
      </w:r>
    </w:p>
    <w:p w14:paraId="09FC7BB2" w14:textId="77777777" w:rsidR="00024CF8" w:rsidRDefault="00024CF8"/>
    <w:p w14:paraId="3622234C" w14:textId="77777777" w:rsidR="00024CF8" w:rsidRDefault="00024CF8"/>
    <w:p w14:paraId="56B0E6F6" w14:textId="77777777" w:rsidR="00024CF8" w:rsidRDefault="00000000">
      <w:pPr>
        <w:jc w:val="center"/>
      </w:pPr>
      <w:r>
        <w:rPr>
          <w:color w:val="505050"/>
          <w:sz w:val="22"/>
        </w:rPr>
        <w:t>INDIVIDUAL CONSULTANT SERVICES</w:t>
      </w:r>
      <w:r>
        <w:rPr>
          <w:color w:val="505050"/>
          <w:sz w:val="22"/>
        </w:rPr>
        <w:br/>
      </w:r>
      <w:r>
        <w:rPr>
          <w:rFonts w:ascii="Oswald" w:eastAsia="Oswald" w:hAnsi="Oswald" w:cs="Oswald"/>
          <w:b/>
          <w:color w:val="0D4A52"/>
          <w:sz w:val="36"/>
        </w:rPr>
        <w:t>Monitoring, Evaluation, and Data Officer</w:t>
      </w:r>
    </w:p>
    <w:p w14:paraId="55E7EAA9" w14:textId="77777777" w:rsidR="00024CF8" w:rsidRDefault="00024CF8"/>
    <w:p w14:paraId="3D2248EF" w14:textId="77777777" w:rsidR="00024CF8" w:rsidRDefault="00024CF8"/>
    <w:p w14:paraId="6754D61C" w14:textId="77777777" w:rsidR="00024CF8" w:rsidRDefault="00000000">
      <w:r>
        <w:br w:type="page"/>
      </w:r>
    </w:p>
    <w:p w14:paraId="3CA6CF7B" w14:textId="77777777" w:rsidR="00024CF8" w:rsidRDefault="00000000">
      <w:pPr>
        <w:pStyle w:val="Heading1"/>
        <w:spacing w:before="200" w:after="80"/>
      </w:pPr>
      <w:r>
        <w:rPr>
          <w:rFonts w:ascii="Oswald" w:eastAsia="Oswald" w:hAnsi="Oswald" w:cs="Oswald"/>
          <w:color w:val="0D4A52"/>
          <w:sz w:val="26"/>
        </w:rPr>
        <w:lastRenderedPageBreak/>
        <w:t>REQUEST FOR EXPRESSION OF INTEREST (SELECTION OF INDIVIDUAL CONSULTANTS)</w:t>
      </w:r>
    </w:p>
    <w:p w14:paraId="66727D52" w14:textId="77777777" w:rsidR="00024CF8" w:rsidRDefault="00024CF8">
      <w:pPr>
        <w:pBdr>
          <w:bottom w:val="single" w:sz="6" w:space="1" w:color="0D4A52"/>
        </w:pBdr>
        <w:spacing w:before="40" w:after="40"/>
      </w:pPr>
    </w:p>
    <w:p w14:paraId="513E923F" w14:textId="77777777" w:rsidR="00024CF8" w:rsidRDefault="00024CF8"/>
    <w:tbl>
      <w:tblPr>
        <w:tblStyle w:val="TableGrid"/>
        <w:tblW w:w="0" w:type="auto"/>
        <w:tblLook w:val="04A0" w:firstRow="1" w:lastRow="0" w:firstColumn="1" w:lastColumn="0" w:noHBand="0" w:noVBand="1"/>
      </w:tblPr>
      <w:tblGrid>
        <w:gridCol w:w="2835"/>
        <w:gridCol w:w="6236"/>
      </w:tblGrid>
      <w:tr w:rsidR="00024CF8" w14:paraId="365241F4" w14:textId="77777777">
        <w:tc>
          <w:tcPr>
            <w:tcW w:w="2835" w:type="dxa"/>
            <w:shd w:val="clear" w:color="auto" w:fill="EEF7F9"/>
          </w:tcPr>
          <w:p w14:paraId="687D6475" w14:textId="77777777" w:rsidR="00024CF8" w:rsidRDefault="00000000">
            <w:r>
              <w:rPr>
                <w:b/>
                <w:color w:val="0D4A52"/>
                <w:sz w:val="22"/>
              </w:rPr>
              <w:t>Country / Region</w:t>
            </w:r>
          </w:p>
        </w:tc>
        <w:tc>
          <w:tcPr>
            <w:tcW w:w="6236" w:type="dxa"/>
            <w:shd w:val="clear" w:color="auto" w:fill="EEF7F9"/>
          </w:tcPr>
          <w:p w14:paraId="2D83DA16" w14:textId="005E4CDB" w:rsidR="00024CF8" w:rsidRDefault="00B67382">
            <w:r>
              <w:rPr>
                <w:sz w:val="22"/>
              </w:rPr>
              <w:t>Saudi Arabia</w:t>
            </w:r>
          </w:p>
        </w:tc>
      </w:tr>
      <w:tr w:rsidR="00024CF8" w14:paraId="57EADF8D" w14:textId="77777777">
        <w:tc>
          <w:tcPr>
            <w:tcW w:w="2835" w:type="dxa"/>
          </w:tcPr>
          <w:p w14:paraId="0CB8FDD1" w14:textId="77777777" w:rsidR="00024CF8" w:rsidRDefault="00000000">
            <w:r>
              <w:rPr>
                <w:b/>
                <w:color w:val="0D4A52"/>
                <w:sz w:val="22"/>
              </w:rPr>
              <w:t>Project / Program</w:t>
            </w:r>
          </w:p>
        </w:tc>
        <w:tc>
          <w:tcPr>
            <w:tcW w:w="6236" w:type="dxa"/>
          </w:tcPr>
          <w:p w14:paraId="2FEDFC0A" w14:textId="77777777" w:rsidR="00024CF8" w:rsidRDefault="00000000">
            <w:r>
              <w:rPr>
                <w:sz w:val="22"/>
              </w:rPr>
              <w:t>Response, Recovery and Resilience (3R) Facility 2026–2030</w:t>
            </w:r>
          </w:p>
        </w:tc>
      </w:tr>
      <w:tr w:rsidR="00024CF8" w14:paraId="44AB74DC" w14:textId="77777777">
        <w:tc>
          <w:tcPr>
            <w:tcW w:w="2835" w:type="dxa"/>
          </w:tcPr>
          <w:p w14:paraId="216ADF56" w14:textId="77777777" w:rsidR="00024CF8" w:rsidRDefault="00000000">
            <w:r>
              <w:rPr>
                <w:b/>
                <w:color w:val="0D4A52"/>
                <w:sz w:val="22"/>
              </w:rPr>
              <w:t>Assignment Title</w:t>
            </w:r>
          </w:p>
        </w:tc>
        <w:tc>
          <w:tcPr>
            <w:tcW w:w="6236" w:type="dxa"/>
          </w:tcPr>
          <w:p w14:paraId="1C069C6B" w14:textId="77777777" w:rsidR="00024CF8" w:rsidRDefault="00000000">
            <w:r>
              <w:rPr>
                <w:sz w:val="22"/>
              </w:rPr>
              <w:t>Monitoring, Evaluation, and Data Officer</w:t>
            </w:r>
          </w:p>
        </w:tc>
      </w:tr>
    </w:tbl>
    <w:p w14:paraId="12985D11" w14:textId="77777777" w:rsidR="00024CF8" w:rsidRDefault="00000000" w:rsidP="00B67382">
      <w:pPr>
        <w:pStyle w:val="Heading2"/>
        <w:spacing w:after="80"/>
        <w:jc w:val="both"/>
      </w:pPr>
      <w:r>
        <w:rPr>
          <w:rFonts w:ascii="Oswald" w:eastAsia="Oswald" w:hAnsi="Oswald" w:cs="Oswald"/>
          <w:color w:val="0D4A52"/>
        </w:rPr>
        <w:t>1. Introduction</w:t>
      </w:r>
    </w:p>
    <w:p w14:paraId="7A370BDF" w14:textId="77777777" w:rsidR="00024CF8" w:rsidRDefault="00000000" w:rsidP="00B67382">
      <w:pPr>
        <w:spacing w:before="40" w:after="80"/>
        <w:jc w:val="both"/>
      </w:pPr>
      <w:r>
        <w:t>The Islamic Development Bank (IsDB) is a Triple-A rated multilateral development bank with 57 member countries, mandated to promote comprehensive human development with a focus on alleviating poverty, improving health, promoting education, improving governance, and prospering the people.</w:t>
      </w:r>
    </w:p>
    <w:p w14:paraId="2CCF5AC8" w14:textId="77777777" w:rsidR="00024CF8" w:rsidRDefault="00000000" w:rsidP="00B67382">
      <w:pPr>
        <w:spacing w:before="40" w:after="80"/>
        <w:jc w:val="both"/>
      </w:pPr>
      <w:r>
        <w:t>The Response, Recovery and Resilience (3R) Facility is an IsDB initiative approved by the Board of Executive Directors on 07 April 2026 (Board Endorsement Document No. 365). The Facility is designed to provide a structured, scalable, and catalytic platform to address the intertwined challenges of crisis response, early recovery, and long-term resilience building in IsDB Fragile, Conflict-Affected, and Marginalized Countries (FCAMCs). The Facility operates over a five-year period (2026–2030) with a total financing target of US$ 460 million, and is anchored in the Humanitarian-Development-Peace (HDP) Nexus, operating through three windows: Window 1 (Rapid Emergency Response), Window 2 (Early Recovery), and Window 3 (Resilience Building).</w:t>
      </w:r>
    </w:p>
    <w:p w14:paraId="29DA6C5F" w14:textId="77777777" w:rsidR="00024CF8" w:rsidRDefault="00000000" w:rsidP="00B67382">
      <w:pPr>
        <w:pStyle w:val="Heading2"/>
        <w:spacing w:after="80"/>
        <w:jc w:val="both"/>
      </w:pPr>
      <w:r>
        <w:rPr>
          <w:rFonts w:ascii="Oswald" w:eastAsia="Oswald" w:hAnsi="Oswald" w:cs="Oswald"/>
          <w:color w:val="0D4A52"/>
        </w:rPr>
        <w:t>2. Purpose of this Expression of Interest</w:t>
      </w:r>
    </w:p>
    <w:p w14:paraId="3B7C3774" w14:textId="77777777" w:rsidR="00024CF8" w:rsidRDefault="00000000" w:rsidP="00B67382">
      <w:pPr>
        <w:spacing w:before="40" w:after="80"/>
        <w:jc w:val="both"/>
      </w:pPr>
      <w:r>
        <w:t>The Islamic Development Bank (IsDB) has applied part of the proceeds of the 3R Facility financing to eligible payments under the contract for individual consultant services, and now invites eligible Individual Consultants to submit their Expression of Interest for the position of Monitoring, Evaluation, and Data Officer.</w:t>
      </w:r>
    </w:p>
    <w:p w14:paraId="276826CC" w14:textId="77777777" w:rsidR="00024CF8" w:rsidRDefault="00000000" w:rsidP="00B67382">
      <w:pPr>
        <w:spacing w:before="40" w:after="80"/>
        <w:jc w:val="both"/>
      </w:pPr>
      <w:r>
        <w:t>The Monitoring, Evaluation, and Data Officer will serve as a full-time member of the 3R Facility Management Team (FMT), hosted within the Resilience and Climate Action Department (RCA) at IsDB Headquarters, Jeddah, Saudi Arabia. The assignment is for five (5) years (2026–2030), renewable annually based on performance.</w:t>
      </w:r>
    </w:p>
    <w:p w14:paraId="61A528CA" w14:textId="77777777" w:rsidR="00024CF8" w:rsidRDefault="00000000" w:rsidP="00B67382">
      <w:pPr>
        <w:spacing w:before="40" w:after="80"/>
        <w:jc w:val="both"/>
      </w:pPr>
      <w:r>
        <w:t>The detailed Terms of Reference (ToR) for this assignment are attached to this Request for Expression of Interest and must be read carefully before submitting an application.</w:t>
      </w:r>
    </w:p>
    <w:p w14:paraId="181AAE91" w14:textId="77777777" w:rsidR="00024CF8" w:rsidRDefault="00000000" w:rsidP="00B67382">
      <w:pPr>
        <w:pStyle w:val="Heading2"/>
        <w:spacing w:after="80"/>
        <w:jc w:val="both"/>
      </w:pPr>
      <w:r>
        <w:rPr>
          <w:rFonts w:ascii="Oswald" w:eastAsia="Oswald" w:hAnsi="Oswald" w:cs="Oswald"/>
          <w:color w:val="0D4A52"/>
        </w:rPr>
        <w:t>3. Brief Description of Services</w:t>
      </w:r>
    </w:p>
    <w:p w14:paraId="52A7BAB4" w14:textId="77777777" w:rsidR="00024CF8" w:rsidRDefault="00000000" w:rsidP="00B67382">
      <w:pPr>
        <w:spacing w:before="40" w:after="80"/>
        <w:jc w:val="both"/>
      </w:pPr>
      <w:r>
        <w:t xml:space="preserve">The Monitoring, Evaluation, and Data Officer is a full-time individual consultant position based at IsDB Headquarters in Jeddah, Saudi Arabia. The consultant will report directly to the Team Leader of the 3R Facility Management Team (FMT). The estimated duration of </w:t>
      </w:r>
      <w:r>
        <w:lastRenderedPageBreak/>
        <w:t>services is sixty (60) months (five years, 2026–2030). The expected start date of the assignment is as soon as possible following contract signature.</w:t>
      </w:r>
    </w:p>
    <w:p w14:paraId="07B276EB" w14:textId="77777777" w:rsidR="00024CF8" w:rsidRDefault="00000000" w:rsidP="00B67382">
      <w:pPr>
        <w:spacing w:before="40" w:after="80"/>
        <w:jc w:val="both"/>
      </w:pPr>
      <w:r>
        <w:t>The detailed roles, responsibilities, and deliverables are defined in the attached Terms of Reference.</w:t>
      </w:r>
    </w:p>
    <w:p w14:paraId="6488BB95" w14:textId="77777777" w:rsidR="00024CF8" w:rsidRDefault="00000000" w:rsidP="00B67382">
      <w:pPr>
        <w:pStyle w:val="Heading2"/>
        <w:spacing w:after="80"/>
        <w:jc w:val="both"/>
      </w:pPr>
      <w:r>
        <w:rPr>
          <w:rFonts w:ascii="Oswald" w:eastAsia="Oswald" w:hAnsi="Oswald" w:cs="Oswald"/>
          <w:color w:val="0D4A52"/>
        </w:rPr>
        <w:t>4. Eligibility and Conflict of Interest</w:t>
      </w:r>
    </w:p>
    <w:p w14:paraId="6C913564" w14:textId="77777777" w:rsidR="00024CF8" w:rsidRDefault="00000000" w:rsidP="00B67382">
      <w:pPr>
        <w:spacing w:before="40" w:after="80"/>
        <w:jc w:val="both"/>
      </w:pPr>
      <w:r>
        <w:t>To qualify for this position, applicants must be citizens of an IsDB member country. The attention of interested Individual Consultants is drawn to clauses 1.12.1 and 1.12.2 of the IsDB Guidelines for the Procurement of Consultant Services under IsDB Project Financing (April 2019 edition), setting forth the IsDB policy on conflicts of interest. Individual consultants affiliated with an organization may also submit their interest.</w:t>
      </w:r>
    </w:p>
    <w:p w14:paraId="19BA3D9C" w14:textId="77777777" w:rsidR="00024CF8" w:rsidRDefault="00000000" w:rsidP="00B67382">
      <w:pPr>
        <w:pStyle w:val="Heading2"/>
        <w:spacing w:after="80"/>
        <w:jc w:val="both"/>
      </w:pPr>
      <w:r>
        <w:rPr>
          <w:rFonts w:ascii="Oswald" w:eastAsia="Oswald" w:hAnsi="Oswald" w:cs="Oswald"/>
          <w:color w:val="0D4A52"/>
        </w:rPr>
        <w:t>5. Selection Method</w:t>
      </w:r>
    </w:p>
    <w:p w14:paraId="18DA3BF4" w14:textId="77777777" w:rsidR="00024CF8" w:rsidRDefault="00000000" w:rsidP="00B67382">
      <w:pPr>
        <w:spacing w:before="40" w:after="80"/>
        <w:jc w:val="both"/>
      </w:pPr>
      <w:r>
        <w:t>A consultant will be selected in accordance with the selection method applicable to Individual Consultants as defined in the IsDB Guidelines for the Procurement of Consultant Services under IsDB Project Financing (April 2019 edition). A competitive selection process will be used.</w:t>
      </w:r>
    </w:p>
    <w:p w14:paraId="073AAE8D" w14:textId="77777777" w:rsidR="00024CF8" w:rsidRDefault="00000000" w:rsidP="00B67382">
      <w:pPr>
        <w:spacing w:before="40" w:after="80"/>
        <w:jc w:val="both"/>
      </w:pPr>
      <w:r>
        <w:t>A two-stage procedure will be applied in evaluating candidates: (i) evaluation of the CV and a brief Technical Proposal (maximum 2 pages) — weighted 60%; and (ii) an interview of shortlisted candidates — weighted 40%. The contract will be negotiated and awarded to the candidate obtaining the highest combined score. The minimum score for technical qualification is 75 out of 100.</w:t>
      </w:r>
    </w:p>
    <w:p w14:paraId="7146FF75" w14:textId="77777777" w:rsidR="00024CF8" w:rsidRDefault="00000000" w:rsidP="00B67382">
      <w:pPr>
        <w:pStyle w:val="Heading2"/>
        <w:spacing w:after="80"/>
        <w:jc w:val="both"/>
      </w:pPr>
      <w:r>
        <w:rPr>
          <w:rFonts w:ascii="Oswald" w:eastAsia="Oswald" w:hAnsi="Oswald" w:cs="Oswald"/>
          <w:color w:val="0D4A52"/>
        </w:rPr>
        <w:t>6. Minimum Qualification Requirements</w:t>
      </w:r>
    </w:p>
    <w:p w14:paraId="4BC31A19" w14:textId="77777777" w:rsidR="00024CF8" w:rsidRDefault="00000000" w:rsidP="00B67382">
      <w:pPr>
        <w:spacing w:after="40"/>
        <w:jc w:val="both"/>
      </w:pPr>
      <w:r>
        <w:rPr>
          <w:b/>
        </w:rPr>
        <w:t xml:space="preserve">Education: </w:t>
      </w:r>
      <w:r>
        <w:t>Master's degree in Statistics, Economics, Social Sciences, Public Policy, International Development, or a closely related field.</w:t>
      </w:r>
    </w:p>
    <w:p w14:paraId="16CD0ED2" w14:textId="77777777" w:rsidR="00024CF8" w:rsidRDefault="00000000" w:rsidP="00B67382">
      <w:pPr>
        <w:spacing w:after="40"/>
        <w:jc w:val="both"/>
      </w:pPr>
      <w:r>
        <w:rPr>
          <w:b/>
        </w:rPr>
        <w:t xml:space="preserve">Minimum General Experience: </w:t>
      </w:r>
      <w:r>
        <w:t>Minimum 7 years of relevant professional experience.</w:t>
      </w:r>
    </w:p>
    <w:p w14:paraId="53BE4AAE" w14:textId="77777777" w:rsidR="00024CF8" w:rsidRDefault="00000000" w:rsidP="00B67382">
      <w:pPr>
        <w:spacing w:after="60"/>
        <w:jc w:val="both"/>
      </w:pPr>
      <w:r>
        <w:rPr>
          <w:b/>
        </w:rPr>
        <w:t xml:space="preserve">Minimum Specific Experience: </w:t>
      </w:r>
    </w:p>
    <w:p w14:paraId="1141D85C" w14:textId="77777777" w:rsidR="00B67382" w:rsidRDefault="00B67382" w:rsidP="00B67382">
      <w:pPr>
        <w:pStyle w:val="ListBullet"/>
        <w:numPr>
          <w:ilvl w:val="0"/>
          <w:numId w:val="10"/>
        </w:numPr>
        <w:spacing w:before="20" w:after="40"/>
        <w:jc w:val="both"/>
      </w:pPr>
      <w:r w:rsidRPr="006569B2">
        <w:t>Applicants must be nationals of an IsDB member country</w:t>
      </w:r>
    </w:p>
    <w:p w14:paraId="4643DE7C" w14:textId="77777777" w:rsidR="00024CF8" w:rsidRDefault="00000000" w:rsidP="00B67382">
      <w:pPr>
        <w:pStyle w:val="ListBullet"/>
        <w:numPr>
          <w:ilvl w:val="0"/>
          <w:numId w:val="10"/>
        </w:numPr>
        <w:spacing w:before="20" w:after="40"/>
        <w:jc w:val="both"/>
      </w:pPr>
      <w:r>
        <w:t>Minimum 7 years of experience in monitoring, evaluation, and learning in the context of international development, humanitarian, or fragility programming;</w:t>
      </w:r>
    </w:p>
    <w:p w14:paraId="34BB1CC1" w14:textId="77777777" w:rsidR="00024CF8" w:rsidRDefault="00000000" w:rsidP="00B67382">
      <w:pPr>
        <w:pStyle w:val="ListBullet"/>
        <w:numPr>
          <w:ilvl w:val="0"/>
          <w:numId w:val="10"/>
        </w:numPr>
        <w:spacing w:before="20" w:after="40"/>
        <w:jc w:val="both"/>
      </w:pPr>
      <w:r>
        <w:t>Demonstrated experience in designing and managing MERL frameworks for large, multi-country programs (US$ 30 million or above);</w:t>
      </w:r>
    </w:p>
    <w:p w14:paraId="094AEC90" w14:textId="77777777" w:rsidR="00024CF8" w:rsidRDefault="00000000" w:rsidP="00B67382">
      <w:pPr>
        <w:pStyle w:val="ListBullet"/>
        <w:numPr>
          <w:ilvl w:val="0"/>
          <w:numId w:val="10"/>
        </w:numPr>
        <w:spacing w:before="20" w:after="40"/>
        <w:jc w:val="both"/>
      </w:pPr>
      <w:r>
        <w:t>Proven experience with digital data collection tools (KoBo Toolbox, ODK, DHIS2, or equivalent) and data visualization platforms;</w:t>
      </w:r>
    </w:p>
    <w:p w14:paraId="1A61F8A0" w14:textId="77777777" w:rsidR="00024CF8" w:rsidRDefault="00000000" w:rsidP="00B67382">
      <w:pPr>
        <w:pStyle w:val="ListBullet"/>
        <w:numPr>
          <w:ilvl w:val="0"/>
          <w:numId w:val="10"/>
        </w:numPr>
        <w:spacing w:before="20" w:after="40"/>
        <w:jc w:val="both"/>
      </w:pPr>
      <w:r>
        <w:t>Experience in managing Third-Party Monitoring (TPM) assignments in high-risk or access-constrained settings;</w:t>
      </w:r>
    </w:p>
    <w:p w14:paraId="3B8BE153" w14:textId="77777777" w:rsidR="00024CF8" w:rsidRDefault="00000000" w:rsidP="00B67382">
      <w:pPr>
        <w:pStyle w:val="ListBullet"/>
        <w:numPr>
          <w:ilvl w:val="0"/>
          <w:numId w:val="10"/>
        </w:numPr>
        <w:spacing w:before="20" w:after="40"/>
        <w:jc w:val="both"/>
      </w:pPr>
      <w:r>
        <w:t>Knowledge of international evaluation standards and guidelines (OECD-DAC, UNEG).</w:t>
      </w:r>
    </w:p>
    <w:p w14:paraId="005006C5" w14:textId="77777777" w:rsidR="00024CF8" w:rsidRDefault="00000000" w:rsidP="00B67382">
      <w:pPr>
        <w:spacing w:after="60"/>
        <w:jc w:val="both"/>
      </w:pPr>
      <w:r>
        <w:rPr>
          <w:b/>
        </w:rPr>
        <w:t>Additional / Preferred Qualifications:</w:t>
      </w:r>
    </w:p>
    <w:p w14:paraId="19207056" w14:textId="77777777" w:rsidR="00024CF8" w:rsidRDefault="00000000" w:rsidP="00B67382">
      <w:pPr>
        <w:pStyle w:val="ListBullet"/>
        <w:numPr>
          <w:ilvl w:val="0"/>
          <w:numId w:val="10"/>
        </w:numPr>
        <w:spacing w:before="20" w:after="40"/>
        <w:jc w:val="both"/>
      </w:pPr>
      <w:r>
        <w:lastRenderedPageBreak/>
        <w:t>Strong quantitative and qualitative data analysis skills; proficiency in statistical software (SPSS, Stata, R, or equivalent) is an advantage;</w:t>
      </w:r>
    </w:p>
    <w:p w14:paraId="0C8252A3" w14:textId="77777777" w:rsidR="00024CF8" w:rsidRDefault="00000000" w:rsidP="00B67382">
      <w:pPr>
        <w:pStyle w:val="ListBullet"/>
        <w:numPr>
          <w:ilvl w:val="0"/>
          <w:numId w:val="10"/>
        </w:numPr>
        <w:spacing w:before="20" w:after="40"/>
        <w:jc w:val="both"/>
      </w:pPr>
      <w:r>
        <w:t>Experience working in or with IsDB Member Countries in fragile contexts is strongly preferred.</w:t>
      </w:r>
    </w:p>
    <w:p w14:paraId="7EA8EC51" w14:textId="77777777" w:rsidR="00024CF8" w:rsidRDefault="00000000" w:rsidP="00B67382">
      <w:pPr>
        <w:spacing w:after="40"/>
        <w:jc w:val="both"/>
      </w:pPr>
      <w:r>
        <w:rPr>
          <w:b/>
        </w:rPr>
        <w:t xml:space="preserve">Languages: </w:t>
      </w:r>
      <w:r>
        <w:t>English (Mandatory); Arabic (Mandatory); French (Preferred).</w:t>
      </w:r>
    </w:p>
    <w:p w14:paraId="317EDF29" w14:textId="77777777" w:rsidR="00024CF8" w:rsidRDefault="00000000" w:rsidP="00B67382">
      <w:pPr>
        <w:spacing w:before="40" w:after="80"/>
        <w:jc w:val="both"/>
      </w:pPr>
      <w:r>
        <w:t>Knowledge of the context (regional, linguistic, and institutional) related to IsDB member countries — particularly Sub-Saharan Africa, the Middle East, and South/Central Asia — will be considered an asset.</w:t>
      </w:r>
    </w:p>
    <w:p w14:paraId="6B43FDFC" w14:textId="77777777" w:rsidR="00024CF8" w:rsidRDefault="00000000">
      <w:pPr>
        <w:pStyle w:val="Heading2"/>
        <w:spacing w:after="80"/>
      </w:pPr>
      <w:r>
        <w:rPr>
          <w:rFonts w:ascii="Oswald" w:eastAsia="Oswald" w:hAnsi="Oswald" w:cs="Oswald"/>
          <w:color w:val="0D4A52"/>
        </w:rPr>
        <w:t>7. Evaluation Criteria</w:t>
      </w:r>
    </w:p>
    <w:p w14:paraId="2A73A170" w14:textId="77777777" w:rsidR="00024CF8" w:rsidRDefault="00000000">
      <w:pPr>
        <w:spacing w:before="40" w:after="80"/>
      </w:pPr>
      <w:r>
        <w:t>The following technical scores and evaluation criteria will be applied:</w:t>
      </w:r>
    </w:p>
    <w:tbl>
      <w:tblPr>
        <w:tblStyle w:val="TableGrid"/>
        <w:tblW w:w="0" w:type="auto"/>
        <w:tblLook w:val="04A0" w:firstRow="1" w:lastRow="0" w:firstColumn="1" w:lastColumn="0" w:noHBand="0" w:noVBand="1"/>
      </w:tblPr>
      <w:tblGrid>
        <w:gridCol w:w="675"/>
        <w:gridCol w:w="7797"/>
        <w:gridCol w:w="992"/>
      </w:tblGrid>
      <w:tr w:rsidR="00024CF8" w14:paraId="62668EBA" w14:textId="77777777" w:rsidTr="00B67382">
        <w:tc>
          <w:tcPr>
            <w:tcW w:w="675" w:type="dxa"/>
            <w:shd w:val="clear" w:color="auto" w:fill="C5E0E8"/>
          </w:tcPr>
          <w:p w14:paraId="310506F4" w14:textId="77777777" w:rsidR="00024CF8" w:rsidRDefault="00000000">
            <w:r>
              <w:rPr>
                <w:b/>
                <w:sz w:val="22"/>
              </w:rPr>
              <w:t>No</w:t>
            </w:r>
          </w:p>
        </w:tc>
        <w:tc>
          <w:tcPr>
            <w:tcW w:w="7797" w:type="dxa"/>
            <w:shd w:val="clear" w:color="auto" w:fill="C5E0E8"/>
          </w:tcPr>
          <w:p w14:paraId="28E87A23" w14:textId="77777777" w:rsidR="00024CF8" w:rsidRDefault="00000000">
            <w:r>
              <w:rPr>
                <w:b/>
                <w:sz w:val="22"/>
              </w:rPr>
              <w:t>Evaluation Criteria</w:t>
            </w:r>
          </w:p>
        </w:tc>
        <w:tc>
          <w:tcPr>
            <w:tcW w:w="992" w:type="dxa"/>
            <w:shd w:val="clear" w:color="auto" w:fill="C5E0E8"/>
          </w:tcPr>
          <w:p w14:paraId="79A24CBB" w14:textId="77777777" w:rsidR="00024CF8" w:rsidRDefault="00000000">
            <w:r>
              <w:rPr>
                <w:b/>
                <w:sz w:val="22"/>
              </w:rPr>
              <w:t>Points</w:t>
            </w:r>
          </w:p>
        </w:tc>
      </w:tr>
      <w:tr w:rsidR="00024CF8" w14:paraId="2A80DDC7" w14:textId="77777777" w:rsidTr="00B67382">
        <w:tc>
          <w:tcPr>
            <w:tcW w:w="675" w:type="dxa"/>
            <w:shd w:val="clear" w:color="auto" w:fill="E8F4F7"/>
          </w:tcPr>
          <w:p w14:paraId="137E6BE3" w14:textId="77777777" w:rsidR="00024CF8" w:rsidRDefault="00000000">
            <w:r>
              <w:rPr>
                <w:b/>
                <w:sz w:val="22"/>
              </w:rPr>
              <w:t>1.</w:t>
            </w:r>
          </w:p>
        </w:tc>
        <w:tc>
          <w:tcPr>
            <w:tcW w:w="7797" w:type="dxa"/>
            <w:shd w:val="clear" w:color="auto" w:fill="E8F4F7"/>
          </w:tcPr>
          <w:p w14:paraId="73FD8FAB" w14:textId="77777777" w:rsidR="00024CF8" w:rsidRDefault="00000000">
            <w:r>
              <w:rPr>
                <w:b/>
                <w:sz w:val="22"/>
              </w:rPr>
              <w:t>Relevance to the assignment</w:t>
            </w:r>
          </w:p>
        </w:tc>
        <w:tc>
          <w:tcPr>
            <w:tcW w:w="992" w:type="dxa"/>
            <w:shd w:val="clear" w:color="auto" w:fill="E8F4F7"/>
          </w:tcPr>
          <w:p w14:paraId="617D99C4" w14:textId="77777777" w:rsidR="00024CF8" w:rsidRDefault="00000000">
            <w:r>
              <w:rPr>
                <w:b/>
                <w:sz w:val="22"/>
              </w:rPr>
              <w:t>10</w:t>
            </w:r>
          </w:p>
        </w:tc>
      </w:tr>
      <w:tr w:rsidR="00024CF8" w14:paraId="65339E2A" w14:textId="77777777" w:rsidTr="00B67382">
        <w:tc>
          <w:tcPr>
            <w:tcW w:w="675" w:type="dxa"/>
          </w:tcPr>
          <w:p w14:paraId="2CC8F283" w14:textId="77777777" w:rsidR="00024CF8" w:rsidRDefault="00000000">
            <w:r>
              <w:rPr>
                <w:sz w:val="22"/>
              </w:rPr>
              <w:t>1.1</w:t>
            </w:r>
          </w:p>
        </w:tc>
        <w:tc>
          <w:tcPr>
            <w:tcW w:w="7797" w:type="dxa"/>
          </w:tcPr>
          <w:p w14:paraId="340C4F8D" w14:textId="77777777" w:rsidR="00024CF8" w:rsidRDefault="00000000">
            <w:r>
              <w:rPr>
                <w:sz w:val="22"/>
              </w:rPr>
              <w:t>English and Arabic proficiency</w:t>
            </w:r>
          </w:p>
        </w:tc>
        <w:tc>
          <w:tcPr>
            <w:tcW w:w="992" w:type="dxa"/>
          </w:tcPr>
          <w:p w14:paraId="5754A465" w14:textId="77777777" w:rsidR="00024CF8" w:rsidRDefault="00000000">
            <w:r>
              <w:rPr>
                <w:sz w:val="22"/>
              </w:rPr>
              <w:t>08</w:t>
            </w:r>
          </w:p>
        </w:tc>
      </w:tr>
      <w:tr w:rsidR="00024CF8" w14:paraId="49ED22E3" w14:textId="77777777" w:rsidTr="00B67382">
        <w:tc>
          <w:tcPr>
            <w:tcW w:w="675" w:type="dxa"/>
          </w:tcPr>
          <w:p w14:paraId="0847AB8B" w14:textId="77777777" w:rsidR="00024CF8" w:rsidRDefault="00000000">
            <w:r>
              <w:rPr>
                <w:sz w:val="22"/>
              </w:rPr>
              <w:t>1.2</w:t>
            </w:r>
          </w:p>
        </w:tc>
        <w:tc>
          <w:tcPr>
            <w:tcW w:w="7797" w:type="dxa"/>
          </w:tcPr>
          <w:p w14:paraId="408CB7C2" w14:textId="77777777" w:rsidR="00024CF8" w:rsidRDefault="00000000">
            <w:r>
              <w:rPr>
                <w:sz w:val="22"/>
              </w:rPr>
              <w:t>Knowledge of another language</w:t>
            </w:r>
          </w:p>
        </w:tc>
        <w:tc>
          <w:tcPr>
            <w:tcW w:w="992" w:type="dxa"/>
          </w:tcPr>
          <w:p w14:paraId="71725328" w14:textId="77777777" w:rsidR="00024CF8" w:rsidRDefault="00000000">
            <w:r>
              <w:rPr>
                <w:sz w:val="22"/>
              </w:rPr>
              <w:t>02</w:t>
            </w:r>
          </w:p>
        </w:tc>
      </w:tr>
      <w:tr w:rsidR="00024CF8" w14:paraId="220B195E" w14:textId="77777777" w:rsidTr="00B67382">
        <w:tc>
          <w:tcPr>
            <w:tcW w:w="675" w:type="dxa"/>
            <w:shd w:val="clear" w:color="auto" w:fill="E8F4F7"/>
          </w:tcPr>
          <w:p w14:paraId="296033F6" w14:textId="77777777" w:rsidR="00024CF8" w:rsidRDefault="00000000">
            <w:r>
              <w:rPr>
                <w:b/>
                <w:sz w:val="22"/>
              </w:rPr>
              <w:t>2.</w:t>
            </w:r>
          </w:p>
        </w:tc>
        <w:tc>
          <w:tcPr>
            <w:tcW w:w="7797" w:type="dxa"/>
            <w:shd w:val="clear" w:color="auto" w:fill="E8F4F7"/>
          </w:tcPr>
          <w:p w14:paraId="6AB62182" w14:textId="77777777" w:rsidR="00024CF8" w:rsidRDefault="00000000">
            <w:r>
              <w:rPr>
                <w:b/>
                <w:sz w:val="22"/>
              </w:rPr>
              <w:t>Adequacy for the assignment</w:t>
            </w:r>
          </w:p>
        </w:tc>
        <w:tc>
          <w:tcPr>
            <w:tcW w:w="992" w:type="dxa"/>
            <w:shd w:val="clear" w:color="auto" w:fill="E8F4F7"/>
          </w:tcPr>
          <w:p w14:paraId="68305A75" w14:textId="77777777" w:rsidR="00024CF8" w:rsidRDefault="00000000">
            <w:r>
              <w:rPr>
                <w:b/>
                <w:sz w:val="22"/>
              </w:rPr>
              <w:t>40</w:t>
            </w:r>
          </w:p>
        </w:tc>
      </w:tr>
      <w:tr w:rsidR="00024CF8" w14:paraId="13A7B045" w14:textId="77777777" w:rsidTr="00B67382">
        <w:tc>
          <w:tcPr>
            <w:tcW w:w="675" w:type="dxa"/>
          </w:tcPr>
          <w:p w14:paraId="1ED8DCFA" w14:textId="77777777" w:rsidR="00024CF8" w:rsidRDefault="00000000">
            <w:r>
              <w:rPr>
                <w:sz w:val="22"/>
              </w:rPr>
              <w:t>2.1</w:t>
            </w:r>
          </w:p>
        </w:tc>
        <w:tc>
          <w:tcPr>
            <w:tcW w:w="7797" w:type="dxa"/>
          </w:tcPr>
          <w:p w14:paraId="00A234A5" w14:textId="77777777" w:rsidR="00024CF8" w:rsidRDefault="00000000">
            <w:r>
              <w:rPr>
                <w:sz w:val="22"/>
              </w:rPr>
              <w:t>Comprehension of Terms of Reference</w:t>
            </w:r>
          </w:p>
        </w:tc>
        <w:tc>
          <w:tcPr>
            <w:tcW w:w="992" w:type="dxa"/>
          </w:tcPr>
          <w:p w14:paraId="69CA5EE7" w14:textId="77777777" w:rsidR="00024CF8" w:rsidRDefault="00000000">
            <w:r>
              <w:rPr>
                <w:sz w:val="22"/>
              </w:rPr>
              <w:t>20</w:t>
            </w:r>
          </w:p>
        </w:tc>
      </w:tr>
      <w:tr w:rsidR="00024CF8" w14:paraId="43B0E33F" w14:textId="77777777" w:rsidTr="00B67382">
        <w:tc>
          <w:tcPr>
            <w:tcW w:w="675" w:type="dxa"/>
          </w:tcPr>
          <w:p w14:paraId="2321F8AC" w14:textId="77777777" w:rsidR="00024CF8" w:rsidRDefault="00000000">
            <w:r>
              <w:rPr>
                <w:sz w:val="22"/>
              </w:rPr>
              <w:t>2.2</w:t>
            </w:r>
          </w:p>
        </w:tc>
        <w:tc>
          <w:tcPr>
            <w:tcW w:w="7797" w:type="dxa"/>
          </w:tcPr>
          <w:p w14:paraId="694D9B66" w14:textId="77777777" w:rsidR="00024CF8" w:rsidRDefault="00000000">
            <w:r>
              <w:rPr>
                <w:sz w:val="22"/>
              </w:rPr>
              <w:t>Organization, methodology</w:t>
            </w:r>
          </w:p>
        </w:tc>
        <w:tc>
          <w:tcPr>
            <w:tcW w:w="992" w:type="dxa"/>
          </w:tcPr>
          <w:p w14:paraId="614F8BBE" w14:textId="77777777" w:rsidR="00024CF8" w:rsidRDefault="00000000">
            <w:r>
              <w:rPr>
                <w:sz w:val="22"/>
              </w:rPr>
              <w:t>20</w:t>
            </w:r>
          </w:p>
        </w:tc>
      </w:tr>
      <w:tr w:rsidR="00024CF8" w14:paraId="6C059C99" w14:textId="77777777" w:rsidTr="00B67382">
        <w:tc>
          <w:tcPr>
            <w:tcW w:w="675" w:type="dxa"/>
            <w:shd w:val="clear" w:color="auto" w:fill="E8F4F7"/>
          </w:tcPr>
          <w:p w14:paraId="740ABEF3" w14:textId="77777777" w:rsidR="00024CF8" w:rsidRDefault="00000000">
            <w:r>
              <w:rPr>
                <w:b/>
                <w:sz w:val="22"/>
              </w:rPr>
              <w:t>3.</w:t>
            </w:r>
          </w:p>
        </w:tc>
        <w:tc>
          <w:tcPr>
            <w:tcW w:w="7797" w:type="dxa"/>
            <w:shd w:val="clear" w:color="auto" w:fill="E8F4F7"/>
          </w:tcPr>
          <w:p w14:paraId="5B4C7307" w14:textId="77777777" w:rsidR="00024CF8" w:rsidRDefault="00000000">
            <w:r>
              <w:rPr>
                <w:b/>
                <w:sz w:val="22"/>
              </w:rPr>
              <w:t>Qualifications and Competencies of the consultant</w:t>
            </w:r>
          </w:p>
        </w:tc>
        <w:tc>
          <w:tcPr>
            <w:tcW w:w="992" w:type="dxa"/>
            <w:shd w:val="clear" w:color="auto" w:fill="E8F4F7"/>
          </w:tcPr>
          <w:p w14:paraId="1EE5AC09" w14:textId="77777777" w:rsidR="00024CF8" w:rsidRDefault="00000000">
            <w:r>
              <w:rPr>
                <w:b/>
                <w:sz w:val="22"/>
              </w:rPr>
              <w:t>50</w:t>
            </w:r>
          </w:p>
        </w:tc>
      </w:tr>
      <w:tr w:rsidR="00024CF8" w14:paraId="3503264F" w14:textId="77777777" w:rsidTr="00B67382">
        <w:tc>
          <w:tcPr>
            <w:tcW w:w="675" w:type="dxa"/>
          </w:tcPr>
          <w:p w14:paraId="2E5596CA" w14:textId="77777777" w:rsidR="00024CF8" w:rsidRDefault="00000000">
            <w:r>
              <w:rPr>
                <w:sz w:val="22"/>
              </w:rPr>
              <w:t>3.1</w:t>
            </w:r>
          </w:p>
        </w:tc>
        <w:tc>
          <w:tcPr>
            <w:tcW w:w="7797" w:type="dxa"/>
          </w:tcPr>
          <w:p w14:paraId="24868AF1" w14:textId="77777777" w:rsidR="00024CF8" w:rsidRDefault="00000000">
            <w:r>
              <w:rPr>
                <w:sz w:val="22"/>
              </w:rPr>
              <w:t>General qualifications (academic profile, years of experience)</w:t>
            </w:r>
          </w:p>
        </w:tc>
        <w:tc>
          <w:tcPr>
            <w:tcW w:w="992" w:type="dxa"/>
          </w:tcPr>
          <w:p w14:paraId="588D04EF" w14:textId="77777777" w:rsidR="00024CF8" w:rsidRDefault="00000000">
            <w:r>
              <w:rPr>
                <w:sz w:val="22"/>
              </w:rPr>
              <w:t>25</w:t>
            </w:r>
          </w:p>
        </w:tc>
      </w:tr>
      <w:tr w:rsidR="00024CF8" w14:paraId="678C8D1F" w14:textId="77777777" w:rsidTr="00B67382">
        <w:tc>
          <w:tcPr>
            <w:tcW w:w="675" w:type="dxa"/>
          </w:tcPr>
          <w:p w14:paraId="54E1643D" w14:textId="77777777" w:rsidR="00024CF8" w:rsidRDefault="00000000">
            <w:r>
              <w:rPr>
                <w:sz w:val="22"/>
              </w:rPr>
              <w:t>3.2</w:t>
            </w:r>
          </w:p>
        </w:tc>
        <w:tc>
          <w:tcPr>
            <w:tcW w:w="7797" w:type="dxa"/>
          </w:tcPr>
          <w:p w14:paraId="65CF5332" w14:textId="77777777" w:rsidR="00024CF8" w:rsidRDefault="00000000">
            <w:r>
              <w:rPr>
                <w:sz w:val="22"/>
              </w:rPr>
              <w:t>Similar experience with development program</w:t>
            </w:r>
          </w:p>
        </w:tc>
        <w:tc>
          <w:tcPr>
            <w:tcW w:w="992" w:type="dxa"/>
          </w:tcPr>
          <w:p w14:paraId="5DB7999A" w14:textId="77777777" w:rsidR="00024CF8" w:rsidRDefault="00000000">
            <w:r>
              <w:rPr>
                <w:sz w:val="22"/>
              </w:rPr>
              <w:t>25</w:t>
            </w:r>
          </w:p>
        </w:tc>
      </w:tr>
      <w:tr w:rsidR="00024CF8" w14:paraId="5AFE0CB7" w14:textId="77777777" w:rsidTr="00B67382">
        <w:tc>
          <w:tcPr>
            <w:tcW w:w="675" w:type="dxa"/>
            <w:shd w:val="clear" w:color="auto" w:fill="C5E0E8"/>
          </w:tcPr>
          <w:p w14:paraId="160ED8D9" w14:textId="77777777" w:rsidR="00024CF8" w:rsidRDefault="00024CF8"/>
        </w:tc>
        <w:tc>
          <w:tcPr>
            <w:tcW w:w="7797" w:type="dxa"/>
            <w:shd w:val="clear" w:color="auto" w:fill="C5E0E8"/>
          </w:tcPr>
          <w:p w14:paraId="52A1B69A" w14:textId="77777777" w:rsidR="00024CF8" w:rsidRDefault="00000000">
            <w:r>
              <w:rPr>
                <w:b/>
                <w:sz w:val="22"/>
              </w:rPr>
              <w:t>TOTAL</w:t>
            </w:r>
          </w:p>
        </w:tc>
        <w:tc>
          <w:tcPr>
            <w:tcW w:w="992" w:type="dxa"/>
            <w:shd w:val="clear" w:color="auto" w:fill="C5E0E8"/>
          </w:tcPr>
          <w:p w14:paraId="20E70D83" w14:textId="77777777" w:rsidR="00024CF8" w:rsidRDefault="00000000">
            <w:r>
              <w:rPr>
                <w:b/>
                <w:sz w:val="22"/>
              </w:rPr>
              <w:t>100</w:t>
            </w:r>
          </w:p>
        </w:tc>
      </w:tr>
    </w:tbl>
    <w:p w14:paraId="5F3AB62D" w14:textId="77777777" w:rsidR="00024CF8" w:rsidRDefault="00024CF8"/>
    <w:p w14:paraId="6A6BB330" w14:textId="77777777" w:rsidR="00024CF8" w:rsidRDefault="00000000">
      <w:pPr>
        <w:pStyle w:val="Heading2"/>
        <w:spacing w:after="80"/>
      </w:pPr>
      <w:r>
        <w:rPr>
          <w:rFonts w:ascii="Oswald" w:eastAsia="Oswald" w:hAnsi="Oswald" w:cs="Oswald"/>
          <w:color w:val="0D4A52"/>
        </w:rPr>
        <w:t>8. Submission of Expression of Interest</w:t>
      </w:r>
    </w:p>
    <w:p w14:paraId="40C62648" w14:textId="77777777" w:rsidR="00024CF8" w:rsidRDefault="00000000">
      <w:pPr>
        <w:spacing w:before="40" w:after="80"/>
      </w:pPr>
      <w:r>
        <w:t>Interested Individual Consultants must provide the following documents to demonstrate their qualifications and interest in providing the services:</w:t>
      </w:r>
    </w:p>
    <w:p w14:paraId="0CB77CF0" w14:textId="77777777" w:rsidR="00024CF8" w:rsidRDefault="00000000" w:rsidP="00B67382">
      <w:pPr>
        <w:pStyle w:val="ListBullet"/>
        <w:numPr>
          <w:ilvl w:val="0"/>
          <w:numId w:val="13"/>
        </w:numPr>
        <w:spacing w:before="20" w:after="40"/>
      </w:pPr>
      <w:r>
        <w:t>Updated Curriculum Vitae (CV) in PDF format;</w:t>
      </w:r>
    </w:p>
    <w:p w14:paraId="7640C26D" w14:textId="77777777" w:rsidR="00024CF8" w:rsidRDefault="00000000" w:rsidP="00B67382">
      <w:pPr>
        <w:pStyle w:val="ListBullet"/>
        <w:numPr>
          <w:ilvl w:val="0"/>
          <w:numId w:val="13"/>
        </w:numPr>
        <w:spacing w:before="20" w:after="40"/>
      </w:pPr>
      <w:r>
        <w:t>Brief Technical Proposal (maximum 2 pages) outlining the candidate's understanding of the ToR, proposed approach and methodology, and relevant experience;</w:t>
      </w:r>
    </w:p>
    <w:p w14:paraId="2D6FB521" w14:textId="77777777" w:rsidR="00024CF8" w:rsidRDefault="00000000" w:rsidP="00B67382">
      <w:pPr>
        <w:pStyle w:val="ListBullet"/>
        <w:numPr>
          <w:ilvl w:val="0"/>
          <w:numId w:val="13"/>
        </w:numPr>
        <w:spacing w:before="20" w:after="40"/>
      </w:pPr>
      <w:r>
        <w:t>Any other supporting documents demonstrating relevant qualifications and experience.</w:t>
      </w:r>
    </w:p>
    <w:p w14:paraId="31846B43" w14:textId="77777777" w:rsidR="00024CF8" w:rsidRDefault="00000000" w:rsidP="00B67382">
      <w:pPr>
        <w:spacing w:before="40" w:after="80"/>
        <w:jc w:val="both"/>
      </w:pPr>
      <w:r>
        <w:t>The shortlist will be drawn up following the evaluation of CVs and useful information in response to this notice, including references. Potential candidates will be required to demonstrate their general qualifications, mission-relevant experience, regional and sector experience, and language ability.</w:t>
      </w:r>
    </w:p>
    <w:p w14:paraId="4013ACA0" w14:textId="7611CF1D" w:rsidR="00024CF8" w:rsidRDefault="002C714B" w:rsidP="00B67382">
      <w:pPr>
        <w:spacing w:before="40" w:after="80"/>
        <w:jc w:val="both"/>
      </w:pPr>
      <w:r w:rsidRPr="002C714B">
        <w:t>Expressions of interest must be submitted by e-mail in PDF format no later than the deadline (2</w:t>
      </w:r>
      <w:r>
        <w:t>0</w:t>
      </w:r>
      <w:r w:rsidRPr="002C714B">
        <w:t xml:space="preserve"> August 2026). Late submissions will not be accepted</w:t>
      </w:r>
      <w:r w:rsidR="00000000">
        <w:t>.</w:t>
      </w:r>
    </w:p>
    <w:p w14:paraId="4DD2544F" w14:textId="77777777" w:rsidR="00024CF8" w:rsidRDefault="00000000" w:rsidP="00B67382">
      <w:pPr>
        <w:spacing w:before="40" w:after="80"/>
        <w:jc w:val="both"/>
      </w:pPr>
      <w:r>
        <w:t>The email subject line must clearly indicate: "Proposal for Monitoring, Evaluation, and Data Officer — 3R Facility". Candidates are encouraged to submit as early as possible.</w:t>
      </w:r>
    </w:p>
    <w:p w14:paraId="18F940E7" w14:textId="77777777" w:rsidR="00024CF8" w:rsidRDefault="00024CF8"/>
    <w:p w14:paraId="2D3BAE78" w14:textId="77777777" w:rsidR="00024CF8" w:rsidRDefault="00000000">
      <w:pPr>
        <w:pStyle w:val="Heading2"/>
        <w:spacing w:after="80"/>
      </w:pPr>
      <w:r>
        <w:rPr>
          <w:rFonts w:ascii="Oswald" w:eastAsia="Oswald" w:hAnsi="Oswald" w:cs="Oswald"/>
          <w:color w:val="0D4A52"/>
        </w:rPr>
        <w:t>9. Contact Information</w:t>
      </w:r>
    </w:p>
    <w:tbl>
      <w:tblPr>
        <w:tblStyle w:val="TableGrid"/>
        <w:tblW w:w="0" w:type="auto"/>
        <w:tblLook w:val="04A0" w:firstRow="1" w:lastRow="0" w:firstColumn="1" w:lastColumn="0" w:noHBand="0" w:noVBand="1"/>
      </w:tblPr>
      <w:tblGrid>
        <w:gridCol w:w="2268"/>
        <w:gridCol w:w="6803"/>
      </w:tblGrid>
      <w:tr w:rsidR="00024CF8" w14:paraId="53D6893F" w14:textId="77777777">
        <w:tc>
          <w:tcPr>
            <w:tcW w:w="2268" w:type="dxa"/>
            <w:shd w:val="clear" w:color="auto" w:fill="EEF7F9"/>
          </w:tcPr>
          <w:p w14:paraId="65A0EF2F" w14:textId="77777777" w:rsidR="00024CF8" w:rsidRDefault="00000000">
            <w:r>
              <w:rPr>
                <w:b/>
                <w:color w:val="0D4A52"/>
                <w:sz w:val="22"/>
              </w:rPr>
              <w:t>Office / Program</w:t>
            </w:r>
          </w:p>
        </w:tc>
        <w:tc>
          <w:tcPr>
            <w:tcW w:w="6803" w:type="dxa"/>
            <w:shd w:val="clear" w:color="auto" w:fill="EEF7F9"/>
          </w:tcPr>
          <w:p w14:paraId="6A04C3C0" w14:textId="77777777" w:rsidR="00024CF8" w:rsidRDefault="00000000">
            <w:r>
              <w:rPr>
                <w:sz w:val="22"/>
              </w:rPr>
              <w:t>3R Facility Management Team — Resilience and Climate Action (RCA) Department</w:t>
            </w:r>
          </w:p>
        </w:tc>
      </w:tr>
      <w:tr w:rsidR="00024CF8" w14:paraId="0DB2870B" w14:textId="77777777">
        <w:tc>
          <w:tcPr>
            <w:tcW w:w="2268" w:type="dxa"/>
          </w:tcPr>
          <w:p w14:paraId="685C1053" w14:textId="77777777" w:rsidR="00024CF8" w:rsidRDefault="00000000">
            <w:r>
              <w:rPr>
                <w:b/>
                <w:color w:val="0D4A52"/>
                <w:sz w:val="22"/>
              </w:rPr>
              <w:t>Attention</w:t>
            </w:r>
          </w:p>
        </w:tc>
        <w:tc>
          <w:tcPr>
            <w:tcW w:w="6803" w:type="dxa"/>
          </w:tcPr>
          <w:p w14:paraId="2EEB2335" w14:textId="77777777" w:rsidR="00024CF8" w:rsidRDefault="00000000">
            <w:r>
              <w:rPr>
                <w:sz w:val="22"/>
              </w:rPr>
              <w:t>Team Leader, 3R Facility Management Team</w:t>
            </w:r>
          </w:p>
        </w:tc>
      </w:tr>
      <w:tr w:rsidR="00024CF8" w14:paraId="43C13374" w14:textId="77777777">
        <w:tc>
          <w:tcPr>
            <w:tcW w:w="2268" w:type="dxa"/>
            <w:shd w:val="clear" w:color="auto" w:fill="EEF7F9"/>
          </w:tcPr>
          <w:p w14:paraId="14F35BDC" w14:textId="77777777" w:rsidR="00024CF8" w:rsidRDefault="00000000">
            <w:r>
              <w:rPr>
                <w:b/>
                <w:color w:val="0D4A52"/>
                <w:sz w:val="22"/>
              </w:rPr>
              <w:t>Address</w:t>
            </w:r>
          </w:p>
        </w:tc>
        <w:tc>
          <w:tcPr>
            <w:tcW w:w="6803" w:type="dxa"/>
            <w:shd w:val="clear" w:color="auto" w:fill="EEF7F9"/>
          </w:tcPr>
          <w:p w14:paraId="5717B680" w14:textId="77777777" w:rsidR="00024CF8" w:rsidRDefault="00000000">
            <w:r>
              <w:rPr>
                <w:sz w:val="22"/>
              </w:rPr>
              <w:t>IsDB Headquarters, 8111 King Khalid Rd, Al Nuzlah Al Yamaniyah, Jeddah 22332, Saudi Arabia</w:t>
            </w:r>
          </w:p>
        </w:tc>
      </w:tr>
      <w:tr w:rsidR="00024CF8" w14:paraId="7DC6C6C8" w14:textId="77777777">
        <w:tc>
          <w:tcPr>
            <w:tcW w:w="2268" w:type="dxa"/>
          </w:tcPr>
          <w:p w14:paraId="65DFB2A5" w14:textId="77777777" w:rsidR="00024CF8" w:rsidRDefault="00000000">
            <w:r>
              <w:rPr>
                <w:b/>
                <w:color w:val="0D4A52"/>
                <w:sz w:val="22"/>
              </w:rPr>
              <w:t>E-mail (Primary)</w:t>
            </w:r>
          </w:p>
        </w:tc>
        <w:tc>
          <w:tcPr>
            <w:tcW w:w="6803" w:type="dxa"/>
          </w:tcPr>
          <w:p w14:paraId="51D5450C" w14:textId="77777777" w:rsidR="00024CF8" w:rsidRDefault="00000000">
            <w:r>
              <w:rPr>
                <w:sz w:val="22"/>
              </w:rPr>
              <w:t>3R-Facility@isdb.org</w:t>
            </w:r>
          </w:p>
        </w:tc>
      </w:tr>
      <w:tr w:rsidR="00024CF8" w14:paraId="1B3E9184" w14:textId="77777777">
        <w:tc>
          <w:tcPr>
            <w:tcW w:w="2268" w:type="dxa"/>
            <w:shd w:val="clear" w:color="auto" w:fill="EEF7F9"/>
          </w:tcPr>
          <w:p w14:paraId="4DC4D64D" w14:textId="77777777" w:rsidR="00024CF8" w:rsidRDefault="00000000">
            <w:r>
              <w:rPr>
                <w:b/>
                <w:color w:val="0D4A52"/>
                <w:sz w:val="22"/>
              </w:rPr>
              <w:t>E-mail (Copy)</w:t>
            </w:r>
          </w:p>
        </w:tc>
        <w:tc>
          <w:tcPr>
            <w:tcW w:w="6803" w:type="dxa"/>
            <w:shd w:val="clear" w:color="auto" w:fill="EEF7F9"/>
          </w:tcPr>
          <w:p w14:paraId="135E1454" w14:textId="77777777" w:rsidR="00024CF8" w:rsidRDefault="00000000">
            <w:r>
              <w:rPr>
                <w:sz w:val="22"/>
              </w:rPr>
              <w:t>M.alhadi@isdb.org</w:t>
            </w:r>
          </w:p>
        </w:tc>
      </w:tr>
      <w:tr w:rsidR="00024CF8" w14:paraId="48B12B17" w14:textId="77777777">
        <w:tc>
          <w:tcPr>
            <w:tcW w:w="2268" w:type="dxa"/>
          </w:tcPr>
          <w:p w14:paraId="4A6134DE" w14:textId="77777777" w:rsidR="00024CF8" w:rsidRDefault="00000000">
            <w:r>
              <w:rPr>
                <w:b/>
                <w:color w:val="0D4A52"/>
                <w:sz w:val="22"/>
              </w:rPr>
              <w:t>Website</w:t>
            </w:r>
          </w:p>
        </w:tc>
        <w:tc>
          <w:tcPr>
            <w:tcW w:w="6803" w:type="dxa"/>
          </w:tcPr>
          <w:p w14:paraId="0E36002B" w14:textId="77777777" w:rsidR="00024CF8" w:rsidRDefault="00000000">
            <w:r>
              <w:rPr>
                <w:sz w:val="22"/>
              </w:rPr>
              <w:t>https://www.isdb.org</w:t>
            </w:r>
          </w:p>
        </w:tc>
      </w:tr>
    </w:tbl>
    <w:p w14:paraId="4FCEF768" w14:textId="77777777" w:rsidR="00024CF8" w:rsidRDefault="00024CF8"/>
    <w:p w14:paraId="51F639C1" w14:textId="77777777" w:rsidR="00024CF8" w:rsidRDefault="00024CF8">
      <w:pPr>
        <w:pBdr>
          <w:bottom w:val="single" w:sz="6" w:space="1" w:color="0D4A52"/>
        </w:pBdr>
        <w:spacing w:before="40" w:after="40"/>
      </w:pPr>
    </w:p>
    <w:p w14:paraId="6E128D4F" w14:textId="77777777" w:rsidR="00024CF8" w:rsidRDefault="00000000">
      <w:pPr>
        <w:spacing w:before="120"/>
        <w:jc w:val="both"/>
      </w:pPr>
      <w:r>
        <w:rPr>
          <w:color w:val="505050"/>
          <w:sz w:val="20"/>
        </w:rPr>
        <w:t>This Expression of Interest does not constitute an offer of employment. IsDB reserves the right to accept or reject any expression of interest and to annul the process at any time without incurring any obligation to the applicants. Only shortlisted candidates will be contacted.</w:t>
      </w:r>
    </w:p>
    <w:sectPr w:rsidR="00024CF8" w:rsidSect="00B67382">
      <w:headerReference w:type="even" r:id="rId8"/>
      <w:headerReference w:type="default" r:id="rId9"/>
      <w:footerReference w:type="default" r:id="rId10"/>
      <w:headerReference w:type="first" r:id="rId11"/>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01EF" w14:textId="77777777" w:rsidR="004B66E5" w:rsidRDefault="004B66E5">
      <w:pPr>
        <w:spacing w:after="0" w:line="240" w:lineRule="auto"/>
      </w:pPr>
      <w:r>
        <w:separator/>
      </w:r>
    </w:p>
  </w:endnote>
  <w:endnote w:type="continuationSeparator" w:id="0">
    <w:p w14:paraId="57F80C66" w14:textId="77777777" w:rsidR="004B66E5" w:rsidRDefault="004B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swald">
    <w:charset w:val="00"/>
    <w:family w:val="auto"/>
    <w:pitch w:val="variable"/>
    <w:sig w:usb0="2000020F" w:usb1="00000000"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6C0B" w14:textId="77777777" w:rsidR="00024CF8" w:rsidRDefault="00000000">
    <w:pPr>
      <w:pStyle w:val="Footer"/>
      <w:jc w:val="center"/>
    </w:pPr>
    <w:r>
      <w:rPr>
        <w:sz w:val="20"/>
      </w:rPr>
      <w:fldChar w:fldCharType="begin"/>
    </w:r>
    <w:r>
      <w:rPr>
        <w:sz w:val="20"/>
      </w:rPr>
      <w:instrText>PAGE</w:instrText>
    </w:r>
    <w:r>
      <w:rPr>
        <w:sz w:val="20"/>
      </w:rPr>
      <w:fldChar w:fldCharType="separate"/>
    </w:r>
    <w:r w:rsidR="00B67382">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985C" w14:textId="77777777" w:rsidR="004B66E5" w:rsidRDefault="004B66E5">
      <w:pPr>
        <w:spacing w:after="0" w:line="240" w:lineRule="auto"/>
      </w:pPr>
      <w:r>
        <w:separator/>
      </w:r>
    </w:p>
  </w:footnote>
  <w:footnote w:type="continuationSeparator" w:id="0">
    <w:p w14:paraId="51E765C8" w14:textId="77777777" w:rsidR="004B66E5" w:rsidRDefault="004B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0050" w14:textId="6CDBA05C" w:rsidR="00B67382" w:rsidRDefault="00B67382">
    <w:pPr>
      <w:pStyle w:val="Header"/>
    </w:pPr>
    <w:r>
      <w:rPr>
        <w:noProof/>
      </w:rPr>
      <mc:AlternateContent>
        <mc:Choice Requires="wps">
          <w:drawing>
            <wp:anchor distT="0" distB="0" distL="0" distR="0" simplePos="0" relativeHeight="251659264" behindDoc="0" locked="0" layoutInCell="1" allowOverlap="1" wp14:anchorId="40A3EC40" wp14:editId="081F3B59">
              <wp:simplePos x="635" y="635"/>
              <wp:positionH relativeFrom="page">
                <wp:align>left</wp:align>
              </wp:positionH>
              <wp:positionV relativeFrom="page">
                <wp:align>top</wp:align>
              </wp:positionV>
              <wp:extent cx="793750" cy="368935"/>
              <wp:effectExtent l="0" t="0" r="6350" b="12065"/>
              <wp:wrapNone/>
              <wp:docPr id="56111361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00907623" w14:textId="4110DB35" w:rsidR="00B67382" w:rsidRPr="00B67382" w:rsidRDefault="00B67382" w:rsidP="00B67382">
                          <w:pPr>
                            <w:spacing w:after="0"/>
                            <w:rPr>
                              <w:rFonts w:ascii="Aptos" w:eastAsia="Aptos" w:hAnsi="Aptos" w:cs="Aptos"/>
                              <w:noProof/>
                              <w:color w:val="000000"/>
                              <w:sz w:val="20"/>
                              <w:szCs w:val="20"/>
                            </w:rPr>
                          </w:pPr>
                          <w:r w:rsidRPr="00B67382">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A3EC40"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00907623" w14:textId="4110DB35" w:rsidR="00B67382" w:rsidRPr="00B67382" w:rsidRDefault="00B67382" w:rsidP="00B67382">
                    <w:pPr>
                      <w:spacing w:after="0"/>
                      <w:rPr>
                        <w:rFonts w:ascii="Aptos" w:eastAsia="Aptos" w:hAnsi="Aptos" w:cs="Aptos"/>
                        <w:noProof/>
                        <w:color w:val="000000"/>
                        <w:sz w:val="20"/>
                        <w:szCs w:val="20"/>
                      </w:rPr>
                    </w:pPr>
                    <w:r w:rsidRPr="00B67382">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BFC0" w14:textId="429E8ACE" w:rsidR="00B67382" w:rsidRDefault="00B67382">
    <w:pPr>
      <w:pStyle w:val="Header"/>
    </w:pPr>
    <w:r>
      <w:rPr>
        <w:noProof/>
      </w:rPr>
      <mc:AlternateContent>
        <mc:Choice Requires="wps">
          <w:drawing>
            <wp:anchor distT="0" distB="0" distL="0" distR="0" simplePos="0" relativeHeight="251660288" behindDoc="0" locked="0" layoutInCell="1" allowOverlap="1" wp14:anchorId="573FE204" wp14:editId="45C92557">
              <wp:simplePos x="915035" y="457835"/>
              <wp:positionH relativeFrom="page">
                <wp:align>left</wp:align>
              </wp:positionH>
              <wp:positionV relativeFrom="page">
                <wp:align>top</wp:align>
              </wp:positionV>
              <wp:extent cx="793750" cy="368935"/>
              <wp:effectExtent l="0" t="0" r="6350" b="12065"/>
              <wp:wrapNone/>
              <wp:docPr id="144883110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09115CDB" w14:textId="7A23E318" w:rsidR="00B67382" w:rsidRPr="00B67382" w:rsidRDefault="00B67382" w:rsidP="00B67382">
                          <w:pPr>
                            <w:spacing w:after="0"/>
                            <w:rPr>
                              <w:rFonts w:ascii="Aptos" w:eastAsia="Aptos" w:hAnsi="Aptos" w:cs="Aptos"/>
                              <w:noProof/>
                              <w:color w:val="000000"/>
                              <w:sz w:val="20"/>
                              <w:szCs w:val="20"/>
                            </w:rPr>
                          </w:pPr>
                          <w:r w:rsidRPr="00B67382">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3FE204"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09115CDB" w14:textId="7A23E318" w:rsidR="00B67382" w:rsidRPr="00B67382" w:rsidRDefault="00B67382" w:rsidP="00B67382">
                    <w:pPr>
                      <w:spacing w:after="0"/>
                      <w:rPr>
                        <w:rFonts w:ascii="Aptos" w:eastAsia="Aptos" w:hAnsi="Aptos" w:cs="Aptos"/>
                        <w:noProof/>
                        <w:color w:val="000000"/>
                        <w:sz w:val="20"/>
                        <w:szCs w:val="20"/>
                      </w:rPr>
                    </w:pPr>
                    <w:r w:rsidRPr="00B67382">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6D24" w14:textId="3966B6C5" w:rsidR="00B67382" w:rsidRDefault="00B67382" w:rsidP="00B67382">
    <w:pPr>
      <w:pStyle w:val="Header"/>
      <w:jc w:val="center"/>
    </w:pPr>
    <w:r>
      <w:rPr>
        <w:noProof/>
        <w:color w:val="0D4A52"/>
      </w:rPr>
      <mc:AlternateContent>
        <mc:Choice Requires="wps">
          <w:drawing>
            <wp:anchor distT="0" distB="0" distL="0" distR="0" simplePos="0" relativeHeight="251658240" behindDoc="0" locked="0" layoutInCell="1" allowOverlap="1" wp14:anchorId="347E83DA" wp14:editId="27E46FD6">
              <wp:simplePos x="914400" y="457200"/>
              <wp:positionH relativeFrom="page">
                <wp:align>left</wp:align>
              </wp:positionH>
              <wp:positionV relativeFrom="page">
                <wp:align>top</wp:align>
              </wp:positionV>
              <wp:extent cx="793750" cy="368935"/>
              <wp:effectExtent l="0" t="0" r="6350" b="12065"/>
              <wp:wrapNone/>
              <wp:docPr id="62863316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06F9E026" w14:textId="3B18C236" w:rsidR="00B67382" w:rsidRPr="00B67382" w:rsidRDefault="00B67382" w:rsidP="00B67382">
                          <w:pPr>
                            <w:spacing w:after="0"/>
                            <w:rPr>
                              <w:rFonts w:ascii="Aptos" w:eastAsia="Aptos" w:hAnsi="Aptos" w:cs="Aptos"/>
                              <w:noProof/>
                              <w:color w:val="000000"/>
                              <w:sz w:val="20"/>
                              <w:szCs w:val="20"/>
                            </w:rPr>
                          </w:pPr>
                          <w:r w:rsidRPr="00B67382">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7E83DA" id="_x0000_t202" coordsize="21600,21600" o:spt="202" path="m,l,21600r21600,l21600,xe">
              <v:stroke joinstyle="miter"/>
              <v:path gradientshapeok="t" o:connecttype="rect"/>
            </v:shapetype>
            <v:shape id="Text Box 1" o:spid="_x0000_s1028" type="#_x0000_t202" alt="Protected" style="position:absolute;left:0;text-align:left;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06F9E026" w14:textId="3B18C236" w:rsidR="00B67382" w:rsidRPr="00B67382" w:rsidRDefault="00B67382" w:rsidP="00B67382">
                    <w:pPr>
                      <w:spacing w:after="0"/>
                      <w:rPr>
                        <w:rFonts w:ascii="Aptos" w:eastAsia="Aptos" w:hAnsi="Aptos" w:cs="Aptos"/>
                        <w:noProof/>
                        <w:color w:val="000000"/>
                        <w:sz w:val="20"/>
                        <w:szCs w:val="20"/>
                      </w:rPr>
                    </w:pPr>
                    <w:r w:rsidRPr="00B67382">
                      <w:rPr>
                        <w:rFonts w:ascii="Aptos" w:eastAsia="Aptos" w:hAnsi="Aptos" w:cs="Aptos"/>
                        <w:noProof/>
                        <w:color w:val="000000"/>
                        <w:sz w:val="20"/>
                        <w:szCs w:val="20"/>
                      </w:rPr>
                      <w:t>Protected</w:t>
                    </w:r>
                  </w:p>
                </w:txbxContent>
              </v:textbox>
              <w10:wrap anchorx="page" anchory="page"/>
            </v:shape>
          </w:pict>
        </mc:Fallback>
      </mc:AlternateContent>
    </w:r>
    <w:r>
      <w:rPr>
        <w:noProof/>
        <w:color w:val="0D4A52"/>
      </w:rPr>
      <w:drawing>
        <wp:inline distT="0" distB="0" distL="0" distR="0" wp14:anchorId="4C92B8C8" wp14:editId="33C7B523">
          <wp:extent cx="5181600" cy="999229"/>
          <wp:effectExtent l="0" t="0" r="0" b="0"/>
          <wp:docPr id="20263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6150" name="Picture 202636150"/>
                  <pic:cNvPicPr/>
                </pic:nvPicPr>
                <pic:blipFill>
                  <a:blip r:embed="rId1"/>
                  <a:stretch>
                    <a:fillRect/>
                  </a:stretch>
                </pic:blipFill>
                <pic:spPr>
                  <a:xfrm>
                    <a:off x="0" y="0"/>
                    <a:ext cx="5214406" cy="1005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FD473D"/>
    <w:multiLevelType w:val="hybridMultilevel"/>
    <w:tmpl w:val="803C0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4C66F7"/>
    <w:multiLevelType w:val="hybridMultilevel"/>
    <w:tmpl w:val="D720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857232"/>
    <w:multiLevelType w:val="hybridMultilevel"/>
    <w:tmpl w:val="5816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0607320">
    <w:abstractNumId w:val="8"/>
  </w:num>
  <w:num w:numId="2" w16cid:durableId="983511539">
    <w:abstractNumId w:val="6"/>
  </w:num>
  <w:num w:numId="3" w16cid:durableId="1342466982">
    <w:abstractNumId w:val="5"/>
  </w:num>
  <w:num w:numId="4" w16cid:durableId="1245533816">
    <w:abstractNumId w:val="4"/>
  </w:num>
  <w:num w:numId="5" w16cid:durableId="1801991667">
    <w:abstractNumId w:val="7"/>
  </w:num>
  <w:num w:numId="6" w16cid:durableId="1804881385">
    <w:abstractNumId w:val="3"/>
  </w:num>
  <w:num w:numId="7" w16cid:durableId="973368906">
    <w:abstractNumId w:val="2"/>
  </w:num>
  <w:num w:numId="8" w16cid:durableId="1218980104">
    <w:abstractNumId w:val="1"/>
  </w:num>
  <w:num w:numId="9" w16cid:durableId="990213841">
    <w:abstractNumId w:val="0"/>
  </w:num>
  <w:num w:numId="10" w16cid:durableId="1128622907">
    <w:abstractNumId w:val="11"/>
  </w:num>
  <w:num w:numId="11" w16cid:durableId="248388805">
    <w:abstractNumId w:val="8"/>
  </w:num>
  <w:num w:numId="12" w16cid:durableId="1712077138">
    <w:abstractNumId w:val="10"/>
  </w:num>
  <w:num w:numId="13" w16cid:durableId="1278176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EC"/>
    <w:rsid w:val="00024CF8"/>
    <w:rsid w:val="00034616"/>
    <w:rsid w:val="0006063C"/>
    <w:rsid w:val="000711F9"/>
    <w:rsid w:val="0015074B"/>
    <w:rsid w:val="0029639D"/>
    <w:rsid w:val="002C714B"/>
    <w:rsid w:val="00326F90"/>
    <w:rsid w:val="00355C98"/>
    <w:rsid w:val="004B66E5"/>
    <w:rsid w:val="00AA1D8D"/>
    <w:rsid w:val="00B47730"/>
    <w:rsid w:val="00B6738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C61F7"/>
  <w14:defaultImageDpi w14:val="300"/>
  <w15:docId w15:val="{75FDC172-DA2A-4214-9FDA-34FFA24D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Roboto Light" w:eastAsia="Roboto Light" w:hAnsi="Roboto Light" w:cs="Roboto Light"/>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1109</Words>
  <Characters>6810</Characters>
  <Application>Microsoft Office Word</Application>
  <DocSecurity>0</DocSecurity>
  <Lines>174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Tahseen Ali</cp:lastModifiedBy>
  <cp:revision>3</cp:revision>
  <dcterms:created xsi:type="dcterms:W3CDTF">2013-12-23T23:15:00Z</dcterms:created>
  <dcterms:modified xsi:type="dcterms:W3CDTF">2026-07-21T11:36:00Z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25782e4d,2171ea0e,565b687c</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2026-06-17T10:08:38Z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a2b68373-240b-4a7b-bd6e-0cc91bea9050</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