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800"/>
        <w:jc w:val="center"/>
      </w:pPr>
      <w:r>
        <w:rPr>
          <w:rFonts w:ascii="Calibri" w:hAnsi="Calibri" w:eastAsia="Calibri" w:cs="Calibri"/>
          <w:b/>
          <w:i w:val="0"/>
          <w:color w:val="003366"/>
          <w:sz w:val="28"/>
        </w:rPr>
        <w:t>ISLAMIC DEVELOPMENT BANK (IsDB)</w:t>
      </w:r>
    </w:p>
    <w:p>
      <w:pPr>
        <w:jc w:val="center"/>
      </w:pPr>
      <w:r>
        <w:rPr>
          <w:rFonts w:ascii="Calibri" w:hAnsi="Calibri" w:eastAsia="Calibri" w:cs="Calibri"/>
          <w:b w:val="0"/>
          <w:i w:val="0"/>
          <w:color w:val="003366"/>
          <w:sz w:val="24"/>
        </w:rPr>
        <w:t>Resilience and Climate Action Department (RCA)</w:t>
      </w:r>
    </w:p>
    <w:p/>
    <w:p/>
    <w:p>
      <w:pPr>
        <w:jc w:val="center"/>
      </w:pPr>
      <w:r>
        <w:rPr>
          <w:rFonts w:ascii="Calibri" w:hAnsi="Calibri" w:eastAsia="Calibri" w:cs="Calibri"/>
          <w:b/>
          <w:i w:val="0"/>
          <w:color w:val="003366"/>
          <w:sz w:val="32"/>
        </w:rPr>
        <w:t>RESPONSE, RECOVERY AND RESILIENCE (3R) FACILITY</w:t>
      </w:r>
    </w:p>
    <w:p>
      <w:pPr>
        <w:jc w:val="center"/>
      </w:pPr>
      <w:r>
        <w:rPr>
          <w:rFonts w:ascii="Calibri" w:hAnsi="Calibri" w:eastAsia="Calibri" w:cs="Calibri"/>
          <w:b/>
          <w:i w:val="0"/>
          <w:color w:val="003366"/>
          <w:sz w:val="26"/>
        </w:rPr>
        <w:t>2026 – 2030</w:t>
      </w:r>
    </w:p>
    <w:p/>
    <w:p/>
    <w:p>
      <w:pPr>
        <w:jc w:val="center"/>
      </w:pPr>
      <w:r>
        <w:rPr>
          <w:rFonts w:ascii="Calibri" w:hAnsi="Calibri" w:eastAsia="Calibri" w:cs="Calibri"/>
          <w:b w:val="0"/>
          <w:i/>
          <w:color w:val="505050"/>
          <w:sz w:val="26"/>
        </w:rPr>
        <w:t>Terms of Reference (ToR)</w:t>
      </w:r>
    </w:p>
    <w:p>
      <w:pPr>
        <w:jc w:val="center"/>
      </w:pPr>
      <w:r>
        <w:rPr>
          <w:rFonts w:ascii="Calibri" w:hAnsi="Calibri" w:eastAsia="Calibri" w:cs="Calibri"/>
          <w:b w:val="0"/>
          <w:i/>
          <w:color w:val="505050"/>
          <w:sz w:val="26"/>
        </w:rPr>
        <w:t>of the</w:t>
      </w:r>
    </w:p>
    <w:p/>
    <w:p>
      <w:pPr>
        <w:jc w:val="center"/>
      </w:pPr>
      <w:r>
        <w:rPr>
          <w:rFonts w:ascii="Calibri" w:hAnsi="Calibri" w:eastAsia="Calibri" w:cs="Calibri"/>
          <w:b/>
          <w:i w:val="0"/>
          <w:color w:val="B43200"/>
          <w:sz w:val="36"/>
        </w:rPr>
        <w:t>Monitoring, Evaluation, and Data Officer</w:t>
      </w:r>
    </w:p>
    <w:p>
      <w:pPr>
        <w:jc w:val="center"/>
      </w:pPr>
      <w:r>
        <w:rPr>
          <w:rFonts w:ascii="Calibri" w:hAnsi="Calibri" w:eastAsia="Calibri" w:cs="Calibri"/>
          <w:b w:val="0"/>
          <w:i/>
          <w:color w:val="505050"/>
          <w:sz w:val="24"/>
        </w:rPr>
        <w:t>3R Facility Management Team</w:t>
      </w:r>
    </w:p>
    <w:p/>
    <w:p/>
    <w:p>
      <w:pPr>
        <w:jc w:val="center"/>
      </w:pPr>
      <w:r>
        <w:rPr>
          <w:rFonts w:ascii="Calibri" w:hAnsi="Calibri" w:eastAsia="Calibri" w:cs="Calibri"/>
          <w:b/>
          <w:i w:val="0"/>
          <w:color w:val="003366"/>
          <w:sz w:val="24"/>
        </w:rPr>
        <w:t>Facility Management Team (FMT)</w:t>
      </w:r>
    </w:p>
    <w:p/>
    <w:p>
      <w:pPr>
        <w:jc w:val="center"/>
      </w:pPr>
      <w:r>
        <w:rPr>
          <w:rFonts w:ascii="Calibri" w:hAnsi="Calibri" w:eastAsia="Calibri" w:cs="Calibri"/>
          <w:b w:val="0"/>
          <w:i/>
          <w:color w:val="787878"/>
          <w:sz w:val="20"/>
        </w:rPr>
        <w:t>Protected | IsDB — RCA — Fragility and Resilience Division (FRD) | 2026</w:t>
      </w:r>
    </w:p>
    <w:p>
      <w:r>
        <w:br w:type="page"/>
      </w:r>
    </w:p>
    <w:p>
      <w:pPr>
        <w:pStyle w:val="Heading2"/>
      </w:pPr>
      <w:r>
        <w:rPr>
          <w:rFonts w:ascii="Calibri" w:hAnsi="Calibri" w:eastAsia="Calibri" w:cs="Calibri"/>
          <w:b/>
          <w:i w:val="0"/>
          <w:color w:val="003366"/>
          <w:sz w:val="26"/>
        </w:rPr>
        <w:t>I. Background</w:t>
      </w:r>
    </w:p>
    <w:p>
      <w:pPr>
        <w:spacing w:after="120"/>
        <w:ind w:firstLine="0"/>
      </w:pPr>
      <w:r>
        <w:rPr>
          <w:rFonts w:ascii="Calibri" w:hAnsi="Calibri" w:eastAsia="Calibri" w:cs="Calibri"/>
          <w:b w:val="0"/>
          <w:i w:val="0"/>
          <w:sz w:val="22"/>
        </w:rPr>
        <w:t xml:space="preserve">1.. </w:t>
      </w:r>
      <w:r>
        <w:rPr>
          <w:rFonts w:ascii="Calibri" w:hAnsi="Calibri" w:eastAsia="Calibri" w:cs="Calibri"/>
          <w:b w:val="0"/>
          <w:i w:val="0"/>
          <w:sz w:val="22"/>
        </w:rPr>
        <w:t>The Islamic Development Bank (IsDB) is a Triple-A rated international financial institution with a current membership of 57 countries. Its mission is to promote comprehensive human development, with a focus on the priority areas of alleviating poverty, improving health, promoting education, improving governance, and prospering the people.</w:t>
      </w:r>
    </w:p>
    <w:p>
      <w:pPr>
        <w:spacing w:after="120"/>
        <w:ind w:firstLine="0"/>
      </w:pPr>
      <w:r>
        <w:rPr>
          <w:rFonts w:ascii="Calibri" w:hAnsi="Calibri" w:eastAsia="Calibri" w:cs="Calibri"/>
          <w:b w:val="0"/>
          <w:i w:val="0"/>
          <w:sz w:val="22"/>
        </w:rPr>
        <w:t xml:space="preserve">2.. </w:t>
      </w:r>
      <w:r>
        <w:rPr>
          <w:rFonts w:ascii="Calibri" w:hAnsi="Calibri" w:eastAsia="Calibri" w:cs="Calibri"/>
          <w:b w:val="0"/>
          <w:i w:val="0"/>
          <w:sz w:val="22"/>
        </w:rPr>
        <w:t>The Response, Recovery and Resilience (3R) Facility is an IsDB initiative approved by the Board of Executive Directors on 07 April 2026 (Board Endorsement Document No. 365). The Facility is designed to provide a structured, scalable, and catalytic platform to address the intertwined challenges of crisis response, early recovery, and long-term resilience building in IsDB Fragile, Conflict-Affected, and Marginalized Countries (FCAMCs).</w:t>
      </w:r>
    </w:p>
    <w:p>
      <w:pPr>
        <w:spacing w:after="120"/>
        <w:ind w:firstLine="0"/>
      </w:pPr>
      <w:r>
        <w:rPr>
          <w:rFonts w:ascii="Calibri" w:hAnsi="Calibri" w:eastAsia="Calibri" w:cs="Calibri"/>
          <w:b w:val="0"/>
          <w:i w:val="0"/>
          <w:sz w:val="22"/>
        </w:rPr>
        <w:t xml:space="preserve">3.. </w:t>
      </w:r>
      <w:r>
        <w:rPr>
          <w:rFonts w:ascii="Calibri" w:hAnsi="Calibri" w:eastAsia="Calibri" w:cs="Calibri"/>
          <w:b w:val="0"/>
          <w:i w:val="0"/>
          <w:sz w:val="22"/>
        </w:rPr>
        <w:t>The 3R Facility operates over a five-year implementation period (2026–2030) with a total financing target of US$ 460 million — comprising a US$ 30 million IsDB OCR Grant, a US$ 45 million Islamic Cooperation Fund (ICF) Grant (for Least Developed Member Countries only), a US$ 10 million GIFR contribution, and a co-financing target of US$ 375 million to be mobilized from external partners (target leverage ratio of 1:5).</w:t>
      </w:r>
    </w:p>
    <w:p>
      <w:pPr>
        <w:spacing w:after="120"/>
        <w:ind w:firstLine="0"/>
      </w:pPr>
      <w:r>
        <w:rPr>
          <w:rFonts w:ascii="Calibri" w:hAnsi="Calibri" w:eastAsia="Calibri" w:cs="Calibri"/>
          <w:b w:val="0"/>
          <w:i w:val="0"/>
          <w:sz w:val="22"/>
        </w:rPr>
        <w:t xml:space="preserve">4.. </w:t>
      </w:r>
      <w:r>
        <w:rPr>
          <w:rFonts w:ascii="Calibri" w:hAnsi="Calibri" w:eastAsia="Calibri" w:cs="Calibri"/>
          <w:b w:val="0"/>
          <w:i w:val="0"/>
          <w:sz w:val="22"/>
        </w:rPr>
        <w:t>The Facility is anchored in the Humanitarian-Development-Peace (HDP) Nexus and operates through three operational windows: (i) Window 1 — Rapid Emergency Response (0–6 months post-crisis); (ii) Window 2 — Early Recovery (6–24 months); and (iii) Window 3 — Resilience Building (24–60 months). Prevention, Preparedness and Early Warning functions as a cross-cutting enabler across all windows.</w:t>
      </w:r>
    </w:p>
    <w:p>
      <w:pPr>
        <w:spacing w:after="120"/>
        <w:ind w:firstLine="0"/>
      </w:pPr>
      <w:r>
        <w:rPr>
          <w:rFonts w:ascii="Calibri" w:hAnsi="Calibri" w:eastAsia="Calibri" w:cs="Calibri"/>
          <w:b w:val="0"/>
          <w:i w:val="0"/>
          <w:sz w:val="22"/>
        </w:rPr>
        <w:t xml:space="preserve">5.. </w:t>
      </w:r>
      <w:r>
        <w:rPr>
          <w:rFonts w:ascii="Calibri" w:hAnsi="Calibri" w:eastAsia="Calibri" w:cs="Calibri"/>
          <w:b w:val="0"/>
          <w:i w:val="0"/>
          <w:sz w:val="22"/>
        </w:rPr>
        <w:t>The 3R Facility directly serves 32 fragile and conflict-affected Member Countries and aims to reach 1.5–1.8 million people with life-saving and livelihood-restoring interventions by 2030. It is fully aligned with IsDB's 10-Year Strategic Framework, the 5-Year Corporate Strategy (2026–2030), and the Sustainable Development Goals (SDGs 1, 2, 3, 5, 6, 8, 13, 16, and 17).</w:t>
      </w:r>
    </w:p>
    <w:p>
      <w:pPr>
        <w:pStyle w:val="Heading2"/>
      </w:pPr>
      <w:r>
        <w:rPr>
          <w:rFonts w:ascii="Calibri" w:hAnsi="Calibri" w:eastAsia="Calibri" w:cs="Calibri"/>
          <w:b/>
          <w:i w:val="0"/>
          <w:color w:val="003366"/>
          <w:sz w:val="26"/>
        </w:rPr>
        <w:t>II. Facility Objectives and Key Results</w:t>
      </w:r>
    </w:p>
    <w:p>
      <w:pPr>
        <w:spacing w:after="120"/>
        <w:ind w:firstLine="0"/>
      </w:pPr>
      <w:r>
        <w:rPr>
          <w:rFonts w:ascii="Calibri" w:hAnsi="Calibri" w:eastAsia="Calibri" w:cs="Calibri"/>
          <w:b w:val="0"/>
          <w:i w:val="0"/>
          <w:sz w:val="22"/>
        </w:rPr>
        <w:t xml:space="preserve">6.. </w:t>
      </w:r>
      <w:r>
        <w:rPr>
          <w:rFonts w:ascii="Calibri" w:hAnsi="Calibri" w:eastAsia="Calibri" w:cs="Calibri"/>
          <w:b w:val="0"/>
          <w:i w:val="0"/>
          <w:sz w:val="22"/>
        </w:rPr>
        <w:t>The overall development objective of the 3R Facility is to reduce fragility and build resilience in IsDB's most vulnerable Member Countries through coordinated, timely, and catalytic financing. Specifically, the Facility aims to: (i) save lives and protect livelihoods through rapid emergency response; (ii) restore essential services and revitalize local economies through early recovery support; and (iii) address structural fragilities and build durable institutional and community resilience over the medium to long term.</w:t>
      </w:r>
    </w:p>
    <w:p>
      <w:pPr>
        <w:spacing w:after="120"/>
        <w:ind w:firstLine="0"/>
      </w:pPr>
      <w:r>
        <w:rPr>
          <w:rFonts w:ascii="Calibri" w:hAnsi="Calibri" w:eastAsia="Calibri" w:cs="Calibri"/>
          <w:b w:val="0"/>
          <w:i w:val="0"/>
          <w:sz w:val="22"/>
        </w:rPr>
        <w:t xml:space="preserve">7.. </w:t>
      </w:r>
      <w:r>
        <w:rPr>
          <w:rFonts w:ascii="Calibri" w:hAnsi="Calibri" w:eastAsia="Calibri" w:cs="Calibri"/>
          <w:b w:val="0"/>
          <w:i w:val="0"/>
          <w:sz w:val="22"/>
        </w:rPr>
        <w:t>The key impact targets of the Facility by 2030 include:</w:t>
      </w:r>
    </w:p>
    <w:p>
      <w:pPr>
        <w:pStyle w:val="ListBullet"/>
        <w:spacing w:after="80"/>
        <w:ind w:left="360"/>
      </w:pPr>
      <w:r>
        <w:rPr>
          <w:rFonts w:ascii="Calibri" w:hAnsi="Calibri" w:eastAsia="Calibri" w:cs="Calibri"/>
          <w:b w:val="0"/>
          <w:i w:val="0"/>
          <w:sz w:val="22"/>
        </w:rPr>
        <w:t>1.5–1.8 million people reached with life-saving assistance;</w:t>
      </w:r>
    </w:p>
    <w:p>
      <w:pPr>
        <w:pStyle w:val="ListBullet"/>
        <w:spacing w:after="80"/>
        <w:ind w:left="360"/>
      </w:pPr>
      <w:r>
        <w:rPr>
          <w:rFonts w:ascii="Calibri" w:hAnsi="Calibri" w:eastAsia="Calibri" w:cs="Calibri"/>
          <w:b w:val="0"/>
          <w:i w:val="0"/>
          <w:sz w:val="22"/>
        </w:rPr>
        <w:t>180,000–350,000 individuals receiving emergency medical care;</w:t>
      </w:r>
    </w:p>
    <w:p>
      <w:pPr>
        <w:pStyle w:val="ListBullet"/>
        <w:spacing w:after="80"/>
        <w:ind w:left="360"/>
      </w:pPr>
      <w:r>
        <w:rPr>
          <w:rFonts w:ascii="Calibri" w:hAnsi="Calibri" w:eastAsia="Calibri" w:cs="Calibri"/>
          <w:b w:val="0"/>
          <w:i w:val="0"/>
          <w:sz w:val="22"/>
        </w:rPr>
        <w:t>270,000–320,000 children accessing emergency education;</w:t>
      </w:r>
    </w:p>
    <w:p>
      <w:pPr>
        <w:pStyle w:val="ListBullet"/>
        <w:spacing w:after="80"/>
        <w:ind w:left="360"/>
      </w:pPr>
      <w:r>
        <w:rPr>
          <w:rFonts w:ascii="Calibri" w:hAnsi="Calibri" w:eastAsia="Calibri" w:cs="Calibri"/>
          <w:b w:val="0"/>
          <w:i w:val="0"/>
          <w:sz w:val="22"/>
        </w:rPr>
        <w:t>80,000–100,000 households benefiting from livelihood restoration support;</w:t>
      </w:r>
    </w:p>
    <w:p>
      <w:pPr>
        <w:pStyle w:val="ListBullet"/>
        <w:spacing w:after="80"/>
        <w:ind w:left="360"/>
      </w:pPr>
      <w:r>
        <w:rPr>
          <w:rFonts w:ascii="Calibri" w:hAnsi="Calibri" w:eastAsia="Calibri" w:cs="Calibri"/>
          <w:b w:val="0"/>
          <w:i w:val="0"/>
          <w:sz w:val="22"/>
        </w:rPr>
        <w:t>90–160 communities with restored basic services;</w:t>
      </w:r>
    </w:p>
    <w:p>
      <w:pPr>
        <w:pStyle w:val="ListBullet"/>
        <w:spacing w:after="80"/>
        <w:ind w:left="360"/>
      </w:pPr>
      <w:r>
        <w:rPr>
          <w:rFonts w:ascii="Calibri" w:hAnsi="Calibri" w:eastAsia="Calibri" w:cs="Calibri"/>
          <w:b w:val="0"/>
          <w:i w:val="0"/>
          <w:sz w:val="22"/>
        </w:rPr>
        <w:t>90–160 functional Early Warning Systems (EWS) established or supported;</w:t>
      </w:r>
    </w:p>
    <w:p>
      <w:pPr>
        <w:pStyle w:val="ListBullet"/>
        <w:spacing w:after="80"/>
        <w:ind w:left="360"/>
      </w:pPr>
      <w:r>
        <w:rPr>
          <w:rFonts w:ascii="Calibri" w:hAnsi="Calibri" w:eastAsia="Calibri" w:cs="Calibri"/>
          <w:b w:val="0"/>
          <w:i w:val="0"/>
          <w:sz w:val="22"/>
        </w:rPr>
        <w:t>350,000–900,000 people benefiting from disaster risk reduction (DRR) measures;</w:t>
      </w:r>
    </w:p>
    <w:p>
      <w:pPr>
        <w:pStyle w:val="ListBullet"/>
        <w:spacing w:after="80"/>
        <w:ind w:left="360"/>
      </w:pPr>
      <w:r>
        <w:rPr>
          <w:rFonts w:ascii="Calibri" w:hAnsi="Calibri" w:eastAsia="Calibri" w:cs="Calibri"/>
          <w:b w:val="0"/>
          <w:i w:val="0"/>
          <w:sz w:val="22"/>
        </w:rPr>
        <w:t>40% or more of all beneficiaries being women and girls;</w:t>
      </w:r>
    </w:p>
    <w:p>
      <w:pPr>
        <w:pStyle w:val="ListBullet"/>
        <w:spacing w:after="80"/>
        <w:ind w:left="360"/>
      </w:pPr>
      <w:r>
        <w:rPr>
          <w:rFonts w:ascii="Calibri" w:hAnsi="Calibri" w:eastAsia="Calibri" w:cs="Calibri"/>
          <w:b w:val="0"/>
          <w:i w:val="0"/>
          <w:sz w:val="22"/>
        </w:rPr>
        <w:t>20% or more of projects integrating Islamic social finance tools (zakat, waqf, sukuk);</w:t>
      </w:r>
    </w:p>
    <w:p>
      <w:pPr>
        <w:pStyle w:val="ListBullet"/>
        <w:spacing w:after="80"/>
        <w:ind w:left="360"/>
      </w:pPr>
      <w:r>
        <w:rPr>
          <w:rFonts w:ascii="Calibri" w:hAnsi="Calibri" w:eastAsia="Calibri" w:cs="Calibri"/>
          <w:b w:val="0"/>
          <w:i w:val="0"/>
          <w:sz w:val="22"/>
        </w:rPr>
        <w:t>US$ 375 million in co-financing mobilized from external partners.</w:t>
      </w:r>
    </w:p>
    <w:p>
      <w:pPr>
        <w:pStyle w:val="Heading2"/>
      </w:pPr>
      <w:r>
        <w:rPr>
          <w:rFonts w:ascii="Calibri" w:hAnsi="Calibri" w:eastAsia="Calibri" w:cs="Calibri"/>
          <w:b/>
          <w:i w:val="0"/>
          <w:color w:val="003366"/>
          <w:sz w:val="26"/>
        </w:rPr>
        <w:t>III. Governance Structure of the Facility</w:t>
      </w:r>
    </w:p>
    <w:p>
      <w:pPr>
        <w:spacing w:after="120"/>
        <w:ind w:firstLine="0"/>
      </w:pPr>
      <w:r>
        <w:rPr>
          <w:rFonts w:ascii="Calibri" w:hAnsi="Calibri" w:eastAsia="Calibri" w:cs="Calibri"/>
          <w:b w:val="0"/>
          <w:i w:val="0"/>
          <w:sz w:val="22"/>
        </w:rPr>
        <w:t xml:space="preserve">8.. </w:t>
      </w:r>
      <w:r>
        <w:rPr>
          <w:rFonts w:ascii="Calibri" w:hAnsi="Calibri" w:eastAsia="Calibri" w:cs="Calibri"/>
          <w:b w:val="0"/>
          <w:i w:val="0"/>
          <w:sz w:val="22"/>
        </w:rPr>
        <w:t>To achieve the Facility's objectives and to ensure division of work, accountability, and transparency, the 3R Facility operates through a multi-tiered governance structure composed of the following bodies:</w:t>
      </w:r>
    </w:p>
    <w:p>
      <w:pPr>
        <w:spacing w:after="120"/>
        <w:ind w:left="360"/>
      </w:pPr>
      <w:r>
        <w:rPr>
          <w:rFonts w:ascii="Calibri" w:hAnsi="Calibri" w:eastAsia="Calibri" w:cs="Calibri"/>
          <w:b/>
          <w:i w:val="0"/>
          <w:sz w:val="22"/>
        </w:rPr>
        <w:t xml:space="preserve">(i) Steering Committee (SC): </w:t>
      </w:r>
      <w:r>
        <w:rPr>
          <w:rFonts w:ascii="Calibri" w:hAnsi="Calibri" w:eastAsia="Calibri" w:cs="Calibri"/>
          <w:b w:val="0"/>
          <w:i w:val="0"/>
          <w:sz w:val="22"/>
        </w:rPr>
        <w:t>Chaired by IsDB, the SC provides strategic direction, endorses annual workplans and budgets, and reviews Facility performance. Partners contributing US$ 10 million or more join as voting members. The SC's role is to provide strategic guidance, ensure alignment with global best practices, advocate for priority interventions, and monitor implementation progress.</w:t>
      </w:r>
    </w:p>
    <w:p>
      <w:pPr>
        <w:spacing w:after="120"/>
        <w:ind w:left="360"/>
      </w:pPr>
      <w:r>
        <w:rPr>
          <w:rFonts w:ascii="Calibri" w:hAnsi="Calibri" w:eastAsia="Calibri" w:cs="Calibri"/>
          <w:b/>
          <w:i w:val="0"/>
          <w:sz w:val="22"/>
        </w:rPr>
        <w:t xml:space="preserve">(ii) IsDB Management and Facility Management Team (FMT): </w:t>
      </w:r>
      <w:r>
        <w:rPr>
          <w:rFonts w:ascii="Calibri" w:hAnsi="Calibri" w:eastAsia="Calibri" w:cs="Calibri"/>
          <w:b w:val="0"/>
          <w:i w:val="0"/>
          <w:sz w:val="22"/>
        </w:rPr>
        <w:t>The FMT is hosted within the Resilience and Climate Action Department (RCA) of IsDB and serves as the operational nerve centre of the Facility. The FMT includes the Team Leader, Partnerships and Resource Mobilization Officer, Humanitarian and Natural Disaster Officer, Program Management Officer (PMO), and the M&amp;E/Data Officer.</w:t>
      </w:r>
    </w:p>
    <w:p>
      <w:pPr>
        <w:spacing w:after="120"/>
        <w:ind w:left="360"/>
      </w:pPr>
      <w:r>
        <w:rPr>
          <w:rFonts w:ascii="Calibri" w:hAnsi="Calibri" w:eastAsia="Calibri" w:cs="Calibri"/>
          <w:b/>
          <w:i w:val="0"/>
          <w:sz w:val="22"/>
        </w:rPr>
        <w:t xml:space="preserve">(iii) Technical Committee: </w:t>
      </w:r>
      <w:r>
        <w:rPr>
          <w:rFonts w:ascii="Calibri" w:hAnsi="Calibri" w:eastAsia="Calibri" w:cs="Calibri"/>
          <w:b w:val="0"/>
          <w:i w:val="0"/>
          <w:sz w:val="22"/>
        </w:rPr>
        <w:t>Reviews the technical dimensions of proposed projects, monitors implementation quality, and provides operational guidance. Representatives from strategic partners participate as members.</w:t>
      </w:r>
    </w:p>
    <w:p>
      <w:pPr>
        <w:spacing w:after="120"/>
        <w:ind w:left="360"/>
      </w:pPr>
      <w:r>
        <w:rPr>
          <w:rFonts w:ascii="Calibri" w:hAnsi="Calibri" w:eastAsia="Calibri" w:cs="Calibri"/>
          <w:b/>
          <w:i w:val="0"/>
          <w:sz w:val="22"/>
        </w:rPr>
        <w:t xml:space="preserve">(iv) Regional Hubs (RHs): </w:t>
      </w:r>
      <w:r>
        <w:rPr>
          <w:rFonts w:ascii="Calibri" w:hAnsi="Calibri" w:eastAsia="Calibri" w:cs="Calibri"/>
          <w:b w:val="0"/>
          <w:i w:val="0"/>
          <w:sz w:val="22"/>
        </w:rPr>
        <w:t>IsDB Regional Hubs serve as the primary liaison with Member Country governments and Implementing Agencies. RHs are responsible for project identification, preparation, supervision, and validation in their respective regions. Member Country governments issue No-Objection Certificates (NOCs) for all interventions.</w:t>
      </w:r>
    </w:p>
    <w:p>
      <w:pPr>
        <w:pStyle w:val="Heading2"/>
      </w:pPr>
      <w:r>
        <w:rPr>
          <w:rFonts w:ascii="Calibri" w:hAnsi="Calibri" w:eastAsia="Calibri" w:cs="Calibri"/>
          <w:b/>
          <w:i w:val="0"/>
          <w:color w:val="003366"/>
          <w:sz w:val="26"/>
        </w:rPr>
        <w:t>IV. Job Description of the Monitoring, Evaluation, and Data Officer</w:t>
      </w:r>
    </w:p>
    <w:p>
      <w:pPr>
        <w:spacing w:after="120"/>
        <w:ind w:firstLine="0"/>
      </w:pPr>
      <w:r>
        <w:rPr>
          <w:rFonts w:ascii="Calibri" w:hAnsi="Calibri" w:eastAsia="Calibri" w:cs="Calibri"/>
          <w:b w:val="0"/>
          <w:i w:val="0"/>
          <w:sz w:val="22"/>
        </w:rPr>
        <w:t xml:space="preserve">9. </w:t>
      </w:r>
      <w:r>
        <w:rPr>
          <w:rFonts w:ascii="Calibri" w:hAnsi="Calibri" w:eastAsia="Calibri" w:cs="Calibri"/>
          <w:b w:val="0"/>
          <w:i w:val="0"/>
          <w:sz w:val="22"/>
        </w:rPr>
        <w:t>IsDB is seeking a qualified and experienced professional to serve as the Monitoring, Evaluation, and Data Officer for the 3R Facility Management Team.</w:t>
      </w:r>
    </w:p>
    <w:p>
      <w:pPr>
        <w:pStyle w:val="Heading3"/>
      </w:pPr>
      <w:r>
        <w:rPr>
          <w:rFonts w:ascii="Calibri" w:hAnsi="Calibri" w:eastAsia="Calibri" w:cs="Calibri"/>
          <w:b/>
          <w:i w:val="0"/>
          <w:color w:val="003366"/>
          <w:sz w:val="24"/>
        </w:rPr>
        <w:t>Job Purpose</w:t>
      </w:r>
    </w:p>
    <w:p>
      <w:pPr>
        <w:spacing w:after="120"/>
        <w:ind w:firstLine="0"/>
      </w:pPr>
      <w:r>
        <w:rPr>
          <w:rFonts w:ascii="Calibri" w:hAnsi="Calibri" w:eastAsia="Calibri" w:cs="Calibri"/>
          <w:b w:val="0"/>
          <w:i w:val="0"/>
          <w:sz w:val="22"/>
        </w:rPr>
        <w:t xml:space="preserve">10. </w:t>
      </w:r>
      <w:r>
        <w:rPr>
          <w:rFonts w:ascii="Calibri" w:hAnsi="Calibri" w:eastAsia="Calibri" w:cs="Calibri"/>
          <w:b w:val="0"/>
          <w:i w:val="0"/>
          <w:sz w:val="22"/>
        </w:rPr>
        <w:t>The Monitoring, Evaluation, and Data Officer is responsible for designing and implementing the 3R Facility's Monitoring, Evaluation, Reporting, and Learning (MERL) framework, ensuring that the Facility generates robust, disaggregated, and timely evidence on its progress and impact. The Officer will manage the Facility's real-time results dashboard, oversee data collection and quality assurance processes across all Implementing Agencies, coordinate Third-Party Monitoring (TPM) in high-risk contexts, support the mid-term and final evaluations, and drive a culture of learning and adaptive management within the FMT. All data managed by this Officer must be disaggregated by sex, age, and disability and must adhere to IsDB data quality standards.</w:t>
      </w:r>
    </w:p>
    <w:p>
      <w:pPr>
        <w:pStyle w:val="Heading3"/>
      </w:pPr>
      <w:r>
        <w:rPr>
          <w:rFonts w:ascii="Calibri" w:hAnsi="Calibri" w:eastAsia="Calibri" w:cs="Calibri"/>
          <w:b/>
          <w:i w:val="0"/>
          <w:color w:val="003366"/>
          <w:sz w:val="24"/>
        </w:rPr>
        <w:t>Roles and Responsibilities</w:t>
      </w:r>
    </w:p>
    <w:p>
      <w:pPr>
        <w:spacing w:before="160" w:after="80"/>
      </w:pPr>
      <w:r>
        <w:rPr>
          <w:rFonts w:ascii="Calibri" w:hAnsi="Calibri" w:eastAsia="Calibri" w:cs="Calibri"/>
          <w:b/>
          <w:i w:val="0"/>
          <w:color w:val="003366"/>
          <w:sz w:val="22"/>
        </w:rPr>
        <w:t>MERL Framework Design and Implementation</w:t>
      </w:r>
    </w:p>
    <w:p>
      <w:pPr>
        <w:pStyle w:val="ListBullet"/>
        <w:spacing w:after="80"/>
        <w:ind w:left="360"/>
      </w:pPr>
      <w:r>
        <w:rPr>
          <w:rFonts w:ascii="Calibri" w:hAnsi="Calibri" w:eastAsia="Calibri" w:cs="Calibri"/>
          <w:b w:val="0"/>
          <w:i w:val="0"/>
          <w:sz w:val="22"/>
        </w:rPr>
        <w:t>Design, operationalize, and continuously refine the 3R Facility's MERL framework, including the results chain, indicator definitions, data sources, collection methods, and reporting timelines.</w:t>
      </w:r>
    </w:p>
    <w:p>
      <w:pPr>
        <w:pStyle w:val="ListBullet"/>
        <w:spacing w:after="80"/>
        <w:ind w:left="360"/>
      </w:pPr>
      <w:r>
        <w:rPr>
          <w:rFonts w:ascii="Calibri" w:hAnsi="Calibri" w:eastAsia="Calibri" w:cs="Calibri"/>
          <w:b w:val="0"/>
          <w:i w:val="0"/>
          <w:sz w:val="22"/>
        </w:rPr>
        <w:t>Develop and maintain a comprehensive Facility Performance Measurement Framework aligned with the Facility's KPI targets across all three windows.</w:t>
      </w:r>
    </w:p>
    <w:p>
      <w:pPr>
        <w:pStyle w:val="ListBullet"/>
        <w:spacing w:after="80"/>
        <w:ind w:left="360"/>
      </w:pPr>
      <w:r>
        <w:rPr>
          <w:rFonts w:ascii="Calibri" w:hAnsi="Calibri" w:eastAsia="Calibri" w:cs="Calibri"/>
          <w:b w:val="0"/>
          <w:i w:val="0"/>
          <w:sz w:val="22"/>
        </w:rPr>
        <w:t>Develop and update all data collection tools, including KoBo Toolbox / Open Data Kit (ODK) forms, GPS-stamped field data collection instruments, and time-stamped evidence protocols.</w:t>
      </w:r>
    </w:p>
    <w:p>
      <w:pPr>
        <w:pStyle w:val="ListBullet"/>
        <w:spacing w:after="80"/>
        <w:ind w:left="360"/>
      </w:pPr>
      <w:r>
        <w:rPr>
          <w:rFonts w:ascii="Calibri" w:hAnsi="Calibri" w:eastAsia="Calibri" w:cs="Calibri"/>
          <w:b w:val="0"/>
          <w:i w:val="0"/>
          <w:sz w:val="22"/>
        </w:rPr>
        <w:t>Ensure all data collected is disaggregated by sex, age, and disability as a minimum standard.</w:t>
      </w:r>
    </w:p>
    <w:p>
      <w:pPr>
        <w:pStyle w:val="ListBullet"/>
        <w:spacing w:after="80"/>
        <w:ind w:left="360"/>
      </w:pPr>
      <w:r>
        <w:rPr>
          <w:rFonts w:ascii="Calibri" w:hAnsi="Calibri" w:eastAsia="Calibri" w:cs="Calibri"/>
          <w:b w:val="0"/>
          <w:i w:val="0"/>
          <w:sz w:val="22"/>
        </w:rPr>
        <w:t>Design and manage the Facility's real-time results dashboard (operational by end of Year 1), ensuring it is accurate, accessible to authorized stakeholders, and updated on a quarterly basis.</w:t>
      </w:r>
    </w:p>
    <w:p>
      <w:pPr>
        <w:pStyle w:val="ListBullet"/>
        <w:spacing w:after="80"/>
        <w:ind w:left="360"/>
      </w:pPr>
      <w:r>
        <w:rPr>
          <w:rFonts w:ascii="Calibri" w:hAnsi="Calibri" w:eastAsia="Calibri" w:cs="Calibri"/>
          <w:b w:val="0"/>
          <w:i w:val="0"/>
          <w:sz w:val="22"/>
        </w:rPr>
        <w:t>Establish and enforce data quality assurance protocols across all Implementing Agencies and Regional Hub focal points.</w:t>
      </w:r>
    </w:p>
    <w:p>
      <w:pPr>
        <w:spacing w:before="160" w:after="80"/>
      </w:pPr>
      <w:r>
        <w:rPr>
          <w:rFonts w:ascii="Calibri" w:hAnsi="Calibri" w:eastAsia="Calibri" w:cs="Calibri"/>
          <w:b/>
          <w:i w:val="0"/>
          <w:color w:val="003366"/>
          <w:sz w:val="22"/>
        </w:rPr>
        <w:t>Data Collection, Analysis, and Reporting</w:t>
      </w:r>
    </w:p>
    <w:p>
      <w:pPr>
        <w:pStyle w:val="ListBullet"/>
        <w:spacing w:after="80"/>
        <w:ind w:left="360"/>
      </w:pPr>
      <w:r>
        <w:rPr>
          <w:rFonts w:ascii="Calibri" w:hAnsi="Calibri" w:eastAsia="Calibri" w:cs="Calibri"/>
          <w:b w:val="0"/>
          <w:i w:val="0"/>
          <w:sz w:val="22"/>
        </w:rPr>
        <w:t>Oversee the collection, verification, and analysis of performance data from Implementing Agencies' quarterly technical and financial reports.</w:t>
      </w:r>
    </w:p>
    <w:p>
      <w:pPr>
        <w:pStyle w:val="ListBullet"/>
        <w:spacing w:after="80"/>
        <w:ind w:left="360"/>
      </w:pPr>
      <w:r>
        <w:rPr>
          <w:rFonts w:ascii="Calibri" w:hAnsi="Calibri" w:eastAsia="Calibri" w:cs="Calibri"/>
          <w:b w:val="0"/>
          <w:i w:val="0"/>
          <w:sz w:val="22"/>
        </w:rPr>
        <w:t>Prepare quarterly, semi-annual, and annual MERL reports for the Team Leader, IsDB management, and the Steering Committee.</w:t>
      </w:r>
    </w:p>
    <w:p>
      <w:pPr>
        <w:pStyle w:val="ListBullet"/>
        <w:spacing w:after="80"/>
        <w:ind w:left="360"/>
      </w:pPr>
      <w:r>
        <w:rPr>
          <w:rFonts w:ascii="Calibri" w:hAnsi="Calibri" w:eastAsia="Calibri" w:cs="Calibri"/>
          <w:b w:val="0"/>
          <w:i w:val="0"/>
          <w:sz w:val="22"/>
        </w:rPr>
        <w:t>Conduct analysis of program performance against KPI targets and provide evidence-based recommendations for adaptive management decisions.</w:t>
      </w:r>
    </w:p>
    <w:p>
      <w:pPr>
        <w:pStyle w:val="ListBullet"/>
        <w:spacing w:after="80"/>
        <w:ind w:left="360"/>
      </w:pPr>
      <w:r>
        <w:rPr>
          <w:rFonts w:ascii="Calibri" w:hAnsi="Calibri" w:eastAsia="Calibri" w:cs="Calibri"/>
          <w:b w:val="0"/>
          <w:i w:val="0"/>
          <w:sz w:val="22"/>
        </w:rPr>
        <w:t>Compile and analyze beneficiary data disaggregated by sex, age, geography, and vulnerability category.</w:t>
      </w:r>
    </w:p>
    <w:p>
      <w:pPr>
        <w:pStyle w:val="ListBullet"/>
        <w:spacing w:after="80"/>
        <w:ind w:left="360"/>
      </w:pPr>
      <w:r>
        <w:rPr>
          <w:rFonts w:ascii="Calibri" w:hAnsi="Calibri" w:eastAsia="Calibri" w:cs="Calibri"/>
          <w:b w:val="0"/>
          <w:i w:val="0"/>
          <w:sz w:val="22"/>
        </w:rPr>
        <w:t>Support the PMO in preparing management dashboards and performance annexes for Steering Committee meetings.</w:t>
      </w:r>
    </w:p>
    <w:p>
      <w:pPr>
        <w:pStyle w:val="ListBullet"/>
        <w:spacing w:after="80"/>
        <w:ind w:left="360"/>
      </w:pPr>
      <w:r>
        <w:rPr>
          <w:rFonts w:ascii="Calibri" w:hAnsi="Calibri" w:eastAsia="Calibri" w:cs="Calibri"/>
          <w:b w:val="0"/>
          <w:i w:val="0"/>
          <w:sz w:val="22"/>
        </w:rPr>
        <w:t>Document lessons learned and produce thematic learning notes on cross-cutting issues (gender, climate-fragility nexus, Islamic social finance integration, PSEA compliance).</w:t>
      </w:r>
    </w:p>
    <w:p>
      <w:pPr>
        <w:spacing w:before="160" w:after="80"/>
      </w:pPr>
      <w:r>
        <w:rPr>
          <w:rFonts w:ascii="Calibri" w:hAnsi="Calibri" w:eastAsia="Calibri" w:cs="Calibri"/>
          <w:b/>
          <w:i w:val="0"/>
          <w:color w:val="003366"/>
          <w:sz w:val="22"/>
        </w:rPr>
        <w:t>Third-Party Monitoring and Evaluation Management</w:t>
      </w:r>
    </w:p>
    <w:p>
      <w:pPr>
        <w:pStyle w:val="ListBullet"/>
        <w:spacing w:after="80"/>
        <w:ind w:left="360"/>
      </w:pPr>
      <w:r>
        <w:rPr>
          <w:rFonts w:ascii="Calibri" w:hAnsi="Calibri" w:eastAsia="Calibri" w:cs="Calibri"/>
          <w:b w:val="0"/>
          <w:i w:val="0"/>
          <w:sz w:val="22"/>
        </w:rPr>
        <w:t>Identify contexts where Third-Party Monitoring (TPM) is required due to security constraints or access limitations and procure and manage TPM service providers in coordination with the PMO.</w:t>
      </w:r>
    </w:p>
    <w:p>
      <w:pPr>
        <w:pStyle w:val="ListBullet"/>
        <w:spacing w:after="80"/>
        <w:ind w:left="360"/>
      </w:pPr>
      <w:r>
        <w:rPr>
          <w:rFonts w:ascii="Calibri" w:hAnsi="Calibri" w:eastAsia="Calibri" w:cs="Calibri"/>
          <w:b w:val="0"/>
          <w:i w:val="0"/>
          <w:sz w:val="22"/>
        </w:rPr>
        <w:t>Develop TPM scopes of work, data collection protocols, and quality assurance checklists.</w:t>
      </w:r>
    </w:p>
    <w:p>
      <w:pPr>
        <w:pStyle w:val="ListBullet"/>
        <w:spacing w:after="80"/>
        <w:ind w:left="360"/>
      </w:pPr>
      <w:r>
        <w:rPr>
          <w:rFonts w:ascii="Calibri" w:hAnsi="Calibri" w:eastAsia="Calibri" w:cs="Calibri"/>
          <w:b w:val="0"/>
          <w:i w:val="0"/>
          <w:sz w:val="22"/>
        </w:rPr>
        <w:t>Review and validate all TPM reports and integrate their findings into the Facility's consolidated performance reports.</w:t>
      </w:r>
    </w:p>
    <w:p>
      <w:pPr>
        <w:pStyle w:val="ListBullet"/>
        <w:spacing w:after="80"/>
        <w:ind w:left="360"/>
      </w:pPr>
      <w:r>
        <w:rPr>
          <w:rFonts w:ascii="Calibri" w:hAnsi="Calibri" w:eastAsia="Calibri" w:cs="Calibri"/>
          <w:b w:val="0"/>
          <w:i w:val="0"/>
          <w:sz w:val="22"/>
        </w:rPr>
        <w:t>Coordinate the 30-month Mid-Term Review in collaboration with IsDB's Operations Evaluation Department, including preparation of Terms of Reference for the review team and provision of all required data and documentation.</w:t>
      </w:r>
    </w:p>
    <w:p>
      <w:pPr>
        <w:pStyle w:val="ListBullet"/>
        <w:spacing w:after="80"/>
        <w:ind w:left="360"/>
      </w:pPr>
      <w:r>
        <w:rPr>
          <w:rFonts w:ascii="Calibri" w:hAnsi="Calibri" w:eastAsia="Calibri" w:cs="Calibri"/>
          <w:b w:val="0"/>
          <w:i w:val="0"/>
          <w:sz w:val="22"/>
        </w:rPr>
        <w:t>Support the final independent evaluation at the end of the five-year Facility period.</w:t>
      </w:r>
    </w:p>
    <w:p>
      <w:pPr>
        <w:spacing w:before="160" w:after="80"/>
      </w:pPr>
      <w:r>
        <w:rPr>
          <w:rFonts w:ascii="Calibri" w:hAnsi="Calibri" w:eastAsia="Calibri" w:cs="Calibri"/>
          <w:b/>
          <w:i w:val="0"/>
          <w:color w:val="003366"/>
          <w:sz w:val="22"/>
        </w:rPr>
        <w:t>Grievance Redress and Safeguards M&amp;E</w:t>
      </w:r>
    </w:p>
    <w:p>
      <w:pPr>
        <w:pStyle w:val="ListBullet"/>
        <w:spacing w:after="80"/>
        <w:ind w:left="360"/>
      </w:pPr>
      <w:r>
        <w:rPr>
          <w:rFonts w:ascii="Calibri" w:hAnsi="Calibri" w:eastAsia="Calibri" w:cs="Calibri"/>
          <w:b w:val="0"/>
          <w:i w:val="0"/>
          <w:sz w:val="22"/>
        </w:rPr>
        <w:t>Monitor the functioning of Grievance Redress Mechanisms (GRMs) across all project sites, ensuring compliance with the standard of resolving at least 80% of grievances within SLA and acknowledging all cases within 24–72 hours.</w:t>
      </w:r>
    </w:p>
    <w:p>
      <w:pPr>
        <w:pStyle w:val="ListBullet"/>
        <w:spacing w:after="80"/>
        <w:ind w:left="360"/>
      </w:pPr>
      <w:r>
        <w:rPr>
          <w:rFonts w:ascii="Calibri" w:hAnsi="Calibri" w:eastAsia="Calibri" w:cs="Calibri"/>
          <w:b w:val="0"/>
          <w:i w:val="0"/>
          <w:sz w:val="22"/>
        </w:rPr>
        <w:t>Track Environmental and Social Safeguards (ESS) compliance indicators across the project portfolio and report deviations to the Team Leader.</w:t>
      </w:r>
    </w:p>
    <w:p>
      <w:pPr>
        <w:pStyle w:val="ListBullet"/>
        <w:spacing w:after="80"/>
        <w:ind w:left="360"/>
      </w:pPr>
      <w:r>
        <w:rPr>
          <w:rFonts w:ascii="Calibri" w:hAnsi="Calibri" w:eastAsia="Calibri" w:cs="Calibri"/>
          <w:b w:val="0"/>
          <w:i w:val="0"/>
          <w:sz w:val="22"/>
        </w:rPr>
        <w:t>Monitor PSEA compliance reporting from Implementing Agencies and flag systemic gaps to the Humanitarian and Natural Disaster Officer.</w:t>
      </w:r>
    </w:p>
    <w:p>
      <w:pPr>
        <w:spacing w:before="160" w:after="80"/>
      </w:pPr>
      <w:r>
        <w:rPr>
          <w:rFonts w:ascii="Calibri" w:hAnsi="Calibri" w:eastAsia="Calibri" w:cs="Calibri"/>
          <w:b/>
          <w:i w:val="0"/>
          <w:color w:val="003366"/>
          <w:sz w:val="22"/>
        </w:rPr>
        <w:t>Capacity Building and Learning</w:t>
      </w:r>
    </w:p>
    <w:p>
      <w:pPr>
        <w:pStyle w:val="ListBullet"/>
        <w:spacing w:after="80"/>
        <w:ind w:left="360"/>
      </w:pPr>
      <w:r>
        <w:rPr>
          <w:rFonts w:ascii="Calibri" w:hAnsi="Calibri" w:eastAsia="Calibri" w:cs="Calibri"/>
          <w:b w:val="0"/>
          <w:i w:val="0"/>
          <w:sz w:val="22"/>
        </w:rPr>
        <w:t>Build the MERL capacity of Implementing Agencies and Regional Hub focal points through training sessions, tool orientations, and on-the-job coaching.</w:t>
      </w:r>
    </w:p>
    <w:p>
      <w:pPr>
        <w:pStyle w:val="ListBullet"/>
        <w:spacing w:after="80"/>
        <w:ind w:left="360"/>
      </w:pPr>
      <w:r>
        <w:rPr>
          <w:rFonts w:ascii="Calibri" w:hAnsi="Calibri" w:eastAsia="Calibri" w:cs="Calibri"/>
          <w:b w:val="0"/>
          <w:i w:val="0"/>
          <w:sz w:val="22"/>
        </w:rPr>
        <w:t>Establish a learning agenda for the Facility and coordinate periodic learning events, after-action reviews, and knowledge-sharing sessions.</w:t>
      </w:r>
    </w:p>
    <w:p>
      <w:pPr>
        <w:pStyle w:val="ListBullet"/>
        <w:spacing w:after="80"/>
        <w:ind w:left="360"/>
      </w:pPr>
      <w:r>
        <w:rPr>
          <w:rFonts w:ascii="Calibri" w:hAnsi="Calibri" w:eastAsia="Calibri" w:cs="Calibri"/>
          <w:b w:val="0"/>
          <w:i w:val="0"/>
          <w:sz w:val="22"/>
        </w:rPr>
        <w:t>Maintain the Facility's knowledge management platform, ensuring storage and accessibility of all MERL data, reports, evaluations, and learning products.</w:t>
      </w:r>
    </w:p>
    <w:p>
      <w:pPr>
        <w:pStyle w:val="ListBullet"/>
        <w:spacing w:after="80"/>
        <w:ind w:left="360"/>
      </w:pPr>
      <w:r>
        <w:rPr>
          <w:rFonts w:ascii="Calibri" w:hAnsi="Calibri" w:eastAsia="Calibri" w:cs="Calibri"/>
          <w:b w:val="0"/>
          <w:i w:val="0"/>
          <w:sz w:val="22"/>
        </w:rPr>
        <w:t>Contribute to IsDB's institutional knowledge on fragility and resilience programming through research notes and cross-departmental knowledge exchange.</w:t>
      </w:r>
    </w:p>
    <w:p>
      <w:pPr>
        <w:pStyle w:val="ListBullet"/>
        <w:spacing w:after="80"/>
        <w:ind w:left="360"/>
      </w:pPr>
      <w:r>
        <w:rPr>
          <w:rFonts w:ascii="Calibri" w:hAnsi="Calibri" w:eastAsia="Calibri" w:cs="Calibri"/>
          <w:b w:val="0"/>
          <w:i w:val="0"/>
          <w:sz w:val="22"/>
        </w:rPr>
        <w:t>Perform any other duties as assigned by the Team Leader.</w:t>
      </w:r>
    </w:p>
    <w:p>
      <w:pPr>
        <w:pStyle w:val="Heading3"/>
      </w:pPr>
      <w:r>
        <w:rPr>
          <w:rFonts w:ascii="Calibri" w:hAnsi="Calibri" w:eastAsia="Calibri" w:cs="Calibri"/>
          <w:b/>
          <w:i w:val="0"/>
          <w:color w:val="003366"/>
          <w:sz w:val="24"/>
        </w:rPr>
        <w:t>Academic Qualifications and Work Experience</w:t>
      </w:r>
    </w:p>
    <w:p>
      <w:pPr>
        <w:spacing w:after="120"/>
        <w:ind w:firstLine="0"/>
      </w:pPr>
      <w:r>
        <w:rPr>
          <w:rFonts w:ascii="Calibri" w:hAnsi="Calibri" w:eastAsia="Calibri" w:cs="Calibri"/>
          <w:b w:val="0"/>
          <w:i w:val="0"/>
          <w:sz w:val="22"/>
        </w:rPr>
        <w:t xml:space="preserve">11. </w:t>
      </w:r>
      <w:r>
        <w:rPr>
          <w:rFonts w:ascii="Calibri" w:hAnsi="Calibri" w:eastAsia="Calibri" w:cs="Calibri"/>
          <w:b w:val="0"/>
          <w:i w:val="0"/>
          <w:sz w:val="22"/>
        </w:rPr>
        <w:t>The minimum required qualifications and work experience are:</w:t>
      </w:r>
    </w:p>
    <w:p>
      <w:pPr>
        <w:pStyle w:val="ListBullet"/>
        <w:spacing w:after="80"/>
        <w:ind w:left="360"/>
      </w:pPr>
      <w:r>
        <w:rPr>
          <w:rFonts w:ascii="Calibri" w:hAnsi="Calibri" w:eastAsia="Calibri" w:cs="Calibri"/>
          <w:b w:val="0"/>
          <w:i w:val="0"/>
          <w:sz w:val="22"/>
        </w:rPr>
        <w:t>Master's degree in Statistics, Economics, Social Sciences, Public Policy, International Development, or a closely related field.</w:t>
      </w:r>
    </w:p>
    <w:p>
      <w:pPr>
        <w:pStyle w:val="ListBullet"/>
        <w:spacing w:after="80"/>
        <w:ind w:left="360"/>
      </w:pPr>
      <w:r>
        <w:rPr>
          <w:rFonts w:ascii="Calibri" w:hAnsi="Calibri" w:eastAsia="Calibri" w:cs="Calibri"/>
          <w:b w:val="0"/>
          <w:i w:val="0"/>
          <w:sz w:val="22"/>
        </w:rPr>
        <w:t>Minimum of 7 years of experience in monitoring, evaluation, and learning in the context of international development, humanitarian, or fragility programming.</w:t>
      </w:r>
    </w:p>
    <w:p>
      <w:pPr>
        <w:pStyle w:val="ListBullet"/>
        <w:spacing w:after="80"/>
        <w:ind w:left="360"/>
      </w:pPr>
      <w:r>
        <w:rPr>
          <w:rFonts w:ascii="Calibri" w:hAnsi="Calibri" w:eastAsia="Calibri" w:cs="Calibri"/>
          <w:b w:val="0"/>
          <w:i w:val="0"/>
          <w:sz w:val="22"/>
        </w:rPr>
        <w:t>Demonstrated experience in designing and managing MERL frameworks for large, multi-country programs (US$ 30 million or above).</w:t>
      </w:r>
    </w:p>
    <w:p>
      <w:pPr>
        <w:pStyle w:val="ListBullet"/>
        <w:spacing w:after="80"/>
        <w:ind w:left="360"/>
      </w:pPr>
      <w:r>
        <w:rPr>
          <w:rFonts w:ascii="Calibri" w:hAnsi="Calibri" w:eastAsia="Calibri" w:cs="Calibri"/>
          <w:b w:val="0"/>
          <w:i w:val="0"/>
          <w:sz w:val="22"/>
        </w:rPr>
        <w:t>Proven experience with digital data collection tools (KoBo Toolbox, ODK, DHIS2, or equivalent) and data visualization platforms.</w:t>
      </w:r>
    </w:p>
    <w:p>
      <w:pPr>
        <w:pStyle w:val="ListBullet"/>
        <w:spacing w:after="80"/>
        <w:ind w:left="360"/>
      </w:pPr>
      <w:r>
        <w:rPr>
          <w:rFonts w:ascii="Calibri" w:hAnsi="Calibri" w:eastAsia="Calibri" w:cs="Calibri"/>
          <w:b w:val="0"/>
          <w:i w:val="0"/>
          <w:sz w:val="22"/>
        </w:rPr>
        <w:t>Experience in managing Third-Party Monitoring assignments in high-risk or access-constrained settings.</w:t>
      </w:r>
    </w:p>
    <w:p>
      <w:pPr>
        <w:pStyle w:val="ListBullet"/>
        <w:spacing w:after="80"/>
        <w:ind w:left="360"/>
      </w:pPr>
      <w:r>
        <w:rPr>
          <w:rFonts w:ascii="Calibri" w:hAnsi="Calibri" w:eastAsia="Calibri" w:cs="Calibri"/>
          <w:b w:val="0"/>
          <w:i w:val="0"/>
          <w:sz w:val="22"/>
        </w:rPr>
        <w:t>Strong quantitative and qualitative data analysis skills; proficiency in statistical software (SPSS, Stata, R, or equivalent) is an advantage.</w:t>
      </w:r>
    </w:p>
    <w:p>
      <w:pPr>
        <w:pStyle w:val="ListBullet"/>
        <w:spacing w:after="80"/>
        <w:ind w:left="360"/>
      </w:pPr>
      <w:r>
        <w:rPr>
          <w:rFonts w:ascii="Calibri" w:hAnsi="Calibri" w:eastAsia="Calibri" w:cs="Calibri"/>
          <w:b w:val="0"/>
          <w:i w:val="0"/>
          <w:sz w:val="22"/>
        </w:rPr>
        <w:t>Knowledge of international evaluation standards and guidelines (OECD-DAC, UNEG) is required.</w:t>
      </w:r>
    </w:p>
    <w:p>
      <w:pPr>
        <w:pStyle w:val="ListBullet"/>
        <w:spacing w:after="80"/>
        <w:ind w:left="360"/>
      </w:pPr>
      <w:r>
        <w:rPr>
          <w:rFonts w:ascii="Calibri" w:hAnsi="Calibri" w:eastAsia="Calibri" w:cs="Calibri"/>
          <w:b w:val="0"/>
          <w:i w:val="0"/>
          <w:sz w:val="22"/>
        </w:rPr>
        <w:t>Experience working in or with IsDB Member Countries in fragile contexts is strongly preferred.</w:t>
      </w:r>
    </w:p>
    <w:p>
      <w:pPr>
        <w:pStyle w:val="Heading3"/>
      </w:pPr>
      <w:r>
        <w:rPr>
          <w:rFonts w:ascii="Calibri" w:hAnsi="Calibri" w:eastAsia="Calibri" w:cs="Calibri"/>
          <w:b/>
          <w:i w:val="0"/>
          <w:color w:val="003366"/>
          <w:sz w:val="24"/>
        </w:rPr>
        <w:t>Skills</w:t>
      </w:r>
    </w:p>
    <w:p>
      <w:pPr>
        <w:spacing w:after="120"/>
        <w:ind w:firstLine="0"/>
      </w:pPr>
      <w:r>
        <w:rPr>
          <w:rFonts w:ascii="Calibri" w:hAnsi="Calibri" w:eastAsia="Calibri" w:cs="Calibri"/>
          <w:b w:val="0"/>
          <w:i w:val="0"/>
          <w:sz w:val="22"/>
        </w:rPr>
        <w:t xml:space="preserve">12. </w:t>
      </w:r>
      <w:r>
        <w:rPr>
          <w:rFonts w:ascii="Calibri" w:hAnsi="Calibri" w:eastAsia="Calibri" w:cs="Calibri"/>
          <w:b w:val="0"/>
          <w:i w:val="0"/>
          <w:sz w:val="22"/>
        </w:rPr>
        <w:t>The required skills are:</w:t>
      </w:r>
    </w:p>
    <w:p>
      <w:pPr>
        <w:pStyle w:val="ListBullet"/>
        <w:spacing w:after="80"/>
        <w:ind w:left="360"/>
      </w:pPr>
      <w:r>
        <w:rPr>
          <w:rFonts w:ascii="Calibri" w:hAnsi="Calibri" w:eastAsia="Calibri" w:cs="Calibri"/>
          <w:b/>
          <w:i w:val="0"/>
          <w:sz w:val="22"/>
        </w:rPr>
        <w:t>Analytical Rigor:</w:t>
      </w:r>
      <w:r>
        <w:rPr>
          <w:rFonts w:ascii="Calibri" w:hAnsi="Calibri" w:eastAsia="Calibri" w:cs="Calibri"/>
          <w:b w:val="0"/>
          <w:i w:val="0"/>
          <w:sz w:val="22"/>
        </w:rPr>
        <w:t xml:space="preserve"> Ability to design and apply robust MERL methodologies, draw evidence-based conclusions, and communicate findings clearly to non-technical audiences.</w:t>
      </w:r>
    </w:p>
    <w:p>
      <w:pPr>
        <w:pStyle w:val="ListBullet"/>
        <w:spacing w:after="80"/>
        <w:ind w:left="360"/>
      </w:pPr>
      <w:r>
        <w:rPr>
          <w:rFonts w:ascii="Calibri" w:hAnsi="Calibri" w:eastAsia="Calibri" w:cs="Calibri"/>
          <w:b/>
          <w:i w:val="0"/>
          <w:sz w:val="22"/>
        </w:rPr>
        <w:t>Communicate Effectively:</w:t>
      </w:r>
      <w:r>
        <w:rPr>
          <w:rFonts w:ascii="Calibri" w:hAnsi="Calibri" w:eastAsia="Calibri" w:cs="Calibri"/>
          <w:b w:val="0"/>
          <w:i w:val="0"/>
          <w:sz w:val="22"/>
        </w:rPr>
        <w:t xml:space="preserve"> Speak, listen, and write in a clear, thorough, and timely manner; ability to produce high-quality data reports under tight deadlines.</w:t>
      </w:r>
    </w:p>
    <w:p>
      <w:pPr>
        <w:pStyle w:val="ListBullet"/>
        <w:spacing w:after="80"/>
        <w:ind w:left="360"/>
      </w:pPr>
      <w:r>
        <w:rPr>
          <w:rFonts w:ascii="Calibri" w:hAnsi="Calibri" w:eastAsia="Calibri" w:cs="Calibri"/>
          <w:b/>
          <w:i w:val="0"/>
          <w:sz w:val="22"/>
        </w:rPr>
        <w:t>Behave Ethically:</w:t>
      </w:r>
      <w:r>
        <w:rPr>
          <w:rFonts w:ascii="Calibri" w:hAnsi="Calibri" w:eastAsia="Calibri" w:cs="Calibri"/>
          <w:b w:val="0"/>
          <w:i w:val="0"/>
          <w:sz w:val="22"/>
        </w:rPr>
        <w:t xml:space="preserve"> Ensure data integrity, confidentiality, and protection of beneficiary information in all MERL activities, consistent with IsDB values.</w:t>
      </w:r>
    </w:p>
    <w:p>
      <w:pPr>
        <w:pStyle w:val="ListBullet"/>
        <w:spacing w:after="80"/>
        <w:ind w:left="360"/>
      </w:pPr>
      <w:r>
        <w:rPr>
          <w:rFonts w:ascii="Calibri" w:hAnsi="Calibri" w:eastAsia="Calibri" w:cs="Calibri"/>
          <w:b/>
          <w:i w:val="0"/>
          <w:sz w:val="22"/>
        </w:rPr>
        <w:t>Organize and Set Priorities:</w:t>
      </w:r>
      <w:r>
        <w:rPr>
          <w:rFonts w:ascii="Calibri" w:hAnsi="Calibri" w:eastAsia="Calibri" w:cs="Calibri"/>
          <w:b w:val="0"/>
          <w:i w:val="0"/>
          <w:sz w:val="22"/>
        </w:rPr>
        <w:t xml:space="preserve"> Manage multiple data streams and reporting obligations simultaneously across a multi-country, multi-window portfolio.</w:t>
      </w:r>
    </w:p>
    <w:p>
      <w:pPr>
        <w:pStyle w:val="ListBullet"/>
        <w:spacing w:after="80"/>
        <w:ind w:left="360"/>
      </w:pPr>
      <w:r>
        <w:rPr>
          <w:rFonts w:ascii="Calibri" w:hAnsi="Calibri" w:eastAsia="Calibri" w:cs="Calibri"/>
          <w:b/>
          <w:i w:val="0"/>
          <w:sz w:val="22"/>
        </w:rPr>
        <w:t>Drive Learning:</w:t>
      </w:r>
      <w:r>
        <w:rPr>
          <w:rFonts w:ascii="Calibri" w:hAnsi="Calibri" w:eastAsia="Calibri" w:cs="Calibri"/>
          <w:b w:val="0"/>
          <w:i w:val="0"/>
          <w:sz w:val="22"/>
        </w:rPr>
        <w:t xml:space="preserve"> Champion adaptive management and evidence-based decision making; foster a culture of learning within the FMT and among Implementing Agencies.</w:t>
      </w:r>
    </w:p>
    <w:p>
      <w:pPr>
        <w:pStyle w:val="Heading3"/>
      </w:pPr>
      <w:r>
        <w:rPr>
          <w:rFonts w:ascii="Calibri" w:hAnsi="Calibri" w:eastAsia="Calibri" w:cs="Calibri"/>
          <w:b/>
          <w:i w:val="0"/>
          <w:color w:val="003366"/>
          <w:sz w:val="24"/>
        </w:rPr>
        <w:t>Languages</w:t>
      </w:r>
    </w:p>
    <w:p>
      <w:pPr>
        <w:spacing w:after="120"/>
        <w:ind w:firstLine="0"/>
      </w:pPr>
      <w:r>
        <w:rPr>
          <w:rFonts w:ascii="Calibri" w:hAnsi="Calibri" w:eastAsia="Calibri" w:cs="Calibri"/>
          <w:b w:val="0"/>
          <w:i w:val="0"/>
          <w:sz w:val="22"/>
        </w:rPr>
        <w:t xml:space="preserve">13. </w:t>
      </w:r>
      <w:r>
        <w:rPr>
          <w:rFonts w:ascii="Calibri" w:hAnsi="Calibri" w:eastAsia="Calibri" w:cs="Calibri"/>
          <w:b w:val="0"/>
          <w:i w:val="0"/>
          <w:sz w:val="22"/>
        </w:rPr>
        <w:t>Excellent written and spoken communication skills:</w:t>
      </w:r>
    </w:p>
    <w:p>
      <w:pPr>
        <w:pStyle w:val="ListBullet"/>
        <w:spacing w:after="80"/>
        <w:ind w:left="360"/>
      </w:pPr>
      <w:r>
        <w:rPr>
          <w:rFonts w:ascii="Calibri" w:hAnsi="Calibri" w:eastAsia="Calibri" w:cs="Calibri"/>
          <w:b w:val="0"/>
          <w:i w:val="0"/>
          <w:sz w:val="22"/>
        </w:rPr>
        <w:t>English (Mandatory)</w:t>
      </w:r>
    </w:p>
    <w:p>
      <w:pPr>
        <w:pStyle w:val="ListBullet"/>
        <w:spacing w:after="80"/>
        <w:ind w:left="360"/>
      </w:pPr>
      <w:r>
        <w:rPr>
          <w:rFonts w:ascii="Calibri" w:hAnsi="Calibri" w:eastAsia="Calibri" w:cs="Calibri"/>
          <w:b w:val="0"/>
          <w:i w:val="0"/>
          <w:sz w:val="22"/>
        </w:rPr>
        <w:t>Arabic (Mandatory)</w:t>
      </w:r>
    </w:p>
    <w:p>
      <w:pPr>
        <w:pStyle w:val="ListBullet"/>
        <w:spacing w:after="80"/>
        <w:ind w:left="360"/>
      </w:pPr>
      <w:r>
        <w:rPr>
          <w:rFonts w:ascii="Calibri" w:hAnsi="Calibri" w:eastAsia="Calibri" w:cs="Calibri"/>
          <w:b w:val="0"/>
          <w:i w:val="0"/>
          <w:sz w:val="22"/>
        </w:rPr>
        <w:t>French (Preferred)</w:t>
      </w:r>
    </w:p>
    <w:p>
      <w:pPr>
        <w:pStyle w:val="Heading2"/>
      </w:pPr>
      <w:r>
        <w:rPr>
          <w:rFonts w:ascii="Calibri" w:hAnsi="Calibri" w:eastAsia="Calibri" w:cs="Calibri"/>
          <w:b/>
          <w:i w:val="0"/>
          <w:color w:val="003366"/>
          <w:sz w:val="26"/>
        </w:rPr>
        <w:t>V. General Conditions of the Contract</w:t>
      </w:r>
    </w:p>
    <w:p>
      <w:pPr>
        <w:pStyle w:val="Heading3"/>
      </w:pPr>
      <w:r>
        <w:rPr>
          <w:rFonts w:ascii="Calibri" w:hAnsi="Calibri" w:eastAsia="Calibri" w:cs="Calibri"/>
          <w:b/>
          <w:i w:val="0"/>
          <w:color w:val="003366"/>
          <w:sz w:val="24"/>
        </w:rPr>
        <w:t>Contract Type</w:t>
      </w:r>
    </w:p>
    <w:p>
      <w:pPr>
        <w:spacing w:after="120"/>
        <w:ind w:firstLine="0"/>
      </w:pPr>
      <w:r>
        <w:rPr>
          <w:rFonts w:ascii="Calibri" w:hAnsi="Calibri" w:eastAsia="Calibri" w:cs="Calibri"/>
          <w:b w:val="0"/>
          <w:i w:val="0"/>
          <w:sz w:val="22"/>
        </w:rPr>
        <w:t xml:space="preserve">14. </w:t>
      </w:r>
      <w:r>
        <w:rPr>
          <w:rFonts w:ascii="Calibri" w:hAnsi="Calibri" w:eastAsia="Calibri" w:cs="Calibri"/>
          <w:b w:val="0"/>
          <w:i w:val="0"/>
          <w:sz w:val="22"/>
        </w:rPr>
        <w:t>Full-time Monitoring, Evaluation, and Data Officer based at the IsDB Headquarters in Jeddah, Saudi Arabia.</w:t>
      </w:r>
    </w:p>
    <w:p>
      <w:pPr>
        <w:pStyle w:val="Heading3"/>
      </w:pPr>
      <w:r>
        <w:rPr>
          <w:rFonts w:ascii="Calibri" w:hAnsi="Calibri" w:eastAsia="Calibri" w:cs="Calibri"/>
          <w:b/>
          <w:i w:val="0"/>
          <w:color w:val="003366"/>
          <w:sz w:val="24"/>
        </w:rPr>
        <w:t>Duration of the Assignment and Contract Renewal</w:t>
      </w:r>
    </w:p>
    <w:p>
      <w:pPr>
        <w:spacing w:after="120"/>
        <w:ind w:firstLine="0"/>
      </w:pPr>
      <w:r>
        <w:rPr>
          <w:rFonts w:ascii="Calibri" w:hAnsi="Calibri" w:eastAsia="Calibri" w:cs="Calibri"/>
          <w:b w:val="0"/>
          <w:i w:val="0"/>
          <w:sz w:val="22"/>
        </w:rPr>
        <w:t xml:space="preserve">15. </w:t>
      </w:r>
      <w:r>
        <w:rPr>
          <w:rFonts w:ascii="Calibri" w:hAnsi="Calibri" w:eastAsia="Calibri" w:cs="Calibri"/>
          <w:b w:val="0"/>
          <w:i w:val="0"/>
          <w:sz w:val="22"/>
        </w:rPr>
        <w:t>The assignment is for five years (2026–2030) and the contract is renewable every year based on performance and the achievements of the officer as assessed by IsDB management.</w:t>
      </w:r>
    </w:p>
    <w:p>
      <w:pPr>
        <w:pStyle w:val="Heading3"/>
      </w:pPr>
      <w:r>
        <w:rPr>
          <w:rFonts w:ascii="Calibri" w:hAnsi="Calibri" w:eastAsia="Calibri" w:cs="Calibri"/>
          <w:b/>
          <w:i w:val="0"/>
          <w:color w:val="003366"/>
          <w:sz w:val="24"/>
        </w:rPr>
        <w:t>Reporting</w:t>
      </w:r>
    </w:p>
    <w:p>
      <w:pPr>
        <w:spacing w:after="120"/>
        <w:ind w:firstLine="0"/>
      </w:pPr>
      <w:r>
        <w:rPr>
          <w:rFonts w:ascii="Calibri" w:hAnsi="Calibri" w:eastAsia="Calibri" w:cs="Calibri"/>
          <w:b w:val="0"/>
          <w:i w:val="0"/>
          <w:sz w:val="22"/>
        </w:rPr>
        <w:t xml:space="preserve">16. </w:t>
      </w:r>
      <w:r>
        <w:rPr>
          <w:rFonts w:ascii="Calibri" w:hAnsi="Calibri" w:eastAsia="Calibri" w:cs="Calibri"/>
          <w:b w:val="0"/>
          <w:i w:val="0"/>
          <w:sz w:val="22"/>
        </w:rPr>
        <w:t>The officer will report to the Team Leader of the 3R Facility Management Team (FMT) within RCA.</w:t>
      </w:r>
    </w:p>
    <w:p>
      <w:pPr>
        <w:pStyle w:val="Heading3"/>
      </w:pPr>
      <w:r>
        <w:rPr>
          <w:rFonts w:ascii="Calibri" w:hAnsi="Calibri" w:eastAsia="Calibri" w:cs="Calibri"/>
          <w:b/>
          <w:i w:val="0"/>
          <w:color w:val="003366"/>
          <w:sz w:val="24"/>
        </w:rPr>
        <w:t>Obligations</w:t>
      </w:r>
    </w:p>
    <w:p>
      <w:pPr>
        <w:spacing w:after="120"/>
        <w:ind w:firstLine="0"/>
      </w:pPr>
      <w:r>
        <w:rPr>
          <w:rFonts w:ascii="Calibri" w:hAnsi="Calibri" w:eastAsia="Calibri" w:cs="Calibri"/>
          <w:b w:val="0"/>
          <w:i w:val="0"/>
          <w:sz w:val="22"/>
        </w:rPr>
        <w:t xml:space="preserve">17. </w:t>
      </w:r>
      <w:r>
        <w:rPr>
          <w:rFonts w:ascii="Calibri" w:hAnsi="Calibri" w:eastAsia="Calibri" w:cs="Calibri"/>
          <w:b w:val="0"/>
          <w:i w:val="0"/>
          <w:sz w:val="22"/>
        </w:rPr>
        <w:t>The Monitoring, Evaluation, and Data Officer must complete all assignments set out in these Terms of Reference with due diligence and efficiency, in accordance with generally accepted professional techniques and practices. The Monitoring, Evaluation, and Data Officer must respect the impartiality and independence of IsDB and must neither seek nor accept instructions from anyone other than the above-mentioned reporting system. During the term of this contract, the Monitoring, Evaluation, and Data Officer must refrain from any conduct that would adversely reflect on IsDB and must not engage in any activity that is incompatible with the administrative instructions, policies, and procedures of IsDB. The Monitoring, Evaluation, and Data Officer must exercise the utmost discretion in all matters relating to this contract.</w:t>
      </w:r>
    </w:p>
    <w:p>
      <w:pPr>
        <w:pStyle w:val="Heading3"/>
      </w:pPr>
      <w:r>
        <w:rPr>
          <w:rFonts w:ascii="Calibri" w:hAnsi="Calibri" w:eastAsia="Calibri" w:cs="Calibri"/>
          <w:b/>
          <w:i w:val="0"/>
          <w:color w:val="003366"/>
          <w:sz w:val="24"/>
        </w:rPr>
        <w:t>Travel</w:t>
      </w:r>
    </w:p>
    <w:p>
      <w:pPr>
        <w:spacing w:after="120"/>
        <w:ind w:firstLine="0"/>
      </w:pPr>
      <w:r>
        <w:rPr>
          <w:rFonts w:ascii="Calibri" w:hAnsi="Calibri" w:eastAsia="Calibri" w:cs="Calibri"/>
          <w:b w:val="0"/>
          <w:i w:val="0"/>
          <w:sz w:val="22"/>
        </w:rPr>
        <w:t xml:space="preserve">18. </w:t>
      </w:r>
      <w:r>
        <w:rPr>
          <w:rFonts w:ascii="Calibri" w:hAnsi="Calibri" w:eastAsia="Calibri" w:cs="Calibri"/>
          <w:b w:val="0"/>
          <w:i w:val="0"/>
          <w:sz w:val="22"/>
        </w:rPr>
        <w:t>Travel costs shall be set out in the contract on the following basis:</w:t>
      </w:r>
    </w:p>
    <w:p>
      <w:pPr>
        <w:pStyle w:val="ListBullet"/>
        <w:spacing w:after="80"/>
        <w:ind w:left="360"/>
      </w:pPr>
      <w:r>
        <w:rPr>
          <w:rFonts w:ascii="Calibri" w:hAnsi="Calibri" w:eastAsia="Calibri" w:cs="Calibri"/>
          <w:b w:val="0"/>
          <w:i w:val="0"/>
          <w:sz w:val="22"/>
        </w:rPr>
        <w:t>The 3R Facility will pay for travel in economy class via the most direct and economical route;</w:t>
      </w:r>
    </w:p>
    <w:p>
      <w:pPr>
        <w:pStyle w:val="ListBullet"/>
        <w:spacing w:after="80"/>
        <w:ind w:left="360"/>
      </w:pPr>
      <w:r>
        <w:rPr>
          <w:rFonts w:ascii="Calibri" w:hAnsi="Calibri" w:eastAsia="Calibri" w:cs="Calibri"/>
          <w:b w:val="0"/>
          <w:i w:val="0"/>
          <w:sz w:val="22"/>
        </w:rPr>
        <w:t>The 3R Facility will provide the officer with a daily subsistence allowance similar to IsDB officers undertaking equivalent travel for official purposes.</w:t>
      </w:r>
    </w:p>
    <w:p>
      <w:pPr>
        <w:pStyle w:val="Heading3"/>
      </w:pPr>
      <w:r>
        <w:rPr>
          <w:rFonts w:ascii="Calibri" w:hAnsi="Calibri" w:eastAsia="Calibri" w:cs="Calibri"/>
          <w:b/>
          <w:i w:val="0"/>
          <w:color w:val="003366"/>
          <w:sz w:val="24"/>
        </w:rPr>
        <w:t>Statement of Good Health</w:t>
      </w:r>
    </w:p>
    <w:p>
      <w:pPr>
        <w:spacing w:after="120"/>
        <w:ind w:firstLine="0"/>
      </w:pPr>
      <w:r>
        <w:rPr>
          <w:rFonts w:ascii="Calibri" w:hAnsi="Calibri" w:eastAsia="Calibri" w:cs="Calibri"/>
          <w:b w:val="0"/>
          <w:i w:val="0"/>
          <w:sz w:val="22"/>
        </w:rPr>
        <w:t xml:space="preserve">19. </w:t>
      </w:r>
      <w:r>
        <w:rPr>
          <w:rFonts w:ascii="Calibri" w:hAnsi="Calibri" w:eastAsia="Calibri" w:cs="Calibri"/>
          <w:b w:val="0"/>
          <w:i w:val="0"/>
          <w:sz w:val="22"/>
        </w:rPr>
        <w:t>Before commencing work, the Monitoring, Evaluation, and Data Officer must deliver to IsDB a certified self-statement of good health and take full accountability for the accuracy of that statement. The Monitoring, Evaluation, and Data Officer will be responsible for any costs incurred in relation to the statement of good health.</w:t>
      </w:r>
    </w:p>
    <w:p>
      <w:pPr>
        <w:pStyle w:val="Heading3"/>
      </w:pPr>
      <w:r>
        <w:rPr>
          <w:rFonts w:ascii="Calibri" w:hAnsi="Calibri" w:eastAsia="Calibri" w:cs="Calibri"/>
          <w:b/>
          <w:i w:val="0"/>
          <w:color w:val="003366"/>
          <w:sz w:val="24"/>
        </w:rPr>
        <w:t>Termination of Contract</w:t>
      </w:r>
    </w:p>
    <w:p>
      <w:pPr>
        <w:spacing w:after="120"/>
        <w:ind w:firstLine="0"/>
      </w:pPr>
      <w:r>
        <w:rPr>
          <w:rFonts w:ascii="Calibri" w:hAnsi="Calibri" w:eastAsia="Calibri" w:cs="Calibri"/>
          <w:b w:val="0"/>
          <w:i w:val="0"/>
          <w:sz w:val="22"/>
        </w:rPr>
        <w:t xml:space="preserve">20. </w:t>
      </w:r>
      <w:r>
        <w:rPr>
          <w:rFonts w:ascii="Calibri" w:hAnsi="Calibri" w:eastAsia="Calibri" w:cs="Calibri"/>
          <w:b w:val="0"/>
          <w:i w:val="0"/>
          <w:sz w:val="22"/>
        </w:rPr>
        <w:t>Either party may terminate the contract before its specified termination date by giving notice in writing to the other party. The period of notice shall be one month. In the event of impropriety or other misconduct by the Monitoring, Evaluation, and Data Officer, IsDB shall be entitled to terminate the contract without notice.</w:t>
      </w:r>
    </w:p>
    <w:p>
      <w:pPr>
        <w:pStyle w:val="Heading3"/>
      </w:pPr>
      <w:r>
        <w:rPr>
          <w:rFonts w:ascii="Calibri" w:hAnsi="Calibri" w:eastAsia="Calibri" w:cs="Calibri"/>
          <w:b/>
          <w:i w:val="0"/>
          <w:color w:val="003366"/>
          <w:sz w:val="24"/>
        </w:rPr>
        <w:t>Selection and Evaluation Criteria</w:t>
      </w:r>
    </w:p>
    <w:p>
      <w:pPr>
        <w:spacing w:after="120"/>
        <w:ind w:firstLine="0"/>
      </w:pPr>
      <w:r>
        <w:rPr>
          <w:rFonts w:ascii="Calibri" w:hAnsi="Calibri" w:eastAsia="Calibri" w:cs="Calibri"/>
          <w:b w:val="0"/>
          <w:i w:val="0"/>
          <w:sz w:val="22"/>
        </w:rPr>
        <w:t xml:space="preserve">21. </w:t>
      </w:r>
      <w:r>
        <w:rPr>
          <w:rFonts w:ascii="Calibri" w:hAnsi="Calibri" w:eastAsia="Calibri" w:cs="Calibri"/>
          <w:b w:val="0"/>
          <w:i w:val="0"/>
          <w:sz w:val="22"/>
        </w:rPr>
        <w:t>The selection method for the Monitoring, Evaluation, and Data Officer will be a competitive selection process.</w:t>
      </w:r>
    </w:p>
    <w:p>
      <w:pPr>
        <w:spacing w:after="120"/>
        <w:ind w:firstLine="0"/>
      </w:pPr>
      <w:r>
        <w:rPr>
          <w:rFonts w:ascii="Calibri" w:hAnsi="Calibri" w:eastAsia="Calibri" w:cs="Calibri"/>
          <w:b w:val="0"/>
          <w:i w:val="0"/>
          <w:sz w:val="22"/>
        </w:rPr>
        <w:t xml:space="preserve">22. </w:t>
      </w:r>
      <w:r>
        <w:rPr>
          <w:rFonts w:ascii="Calibri" w:hAnsi="Calibri" w:eastAsia="Calibri" w:cs="Calibri"/>
          <w:b w:val="0"/>
          <w:i w:val="0"/>
          <w:sz w:val="22"/>
        </w:rPr>
        <w:t>A two-stage procedure will be utilized in evaluating the candidates, with evaluation of the technical candidate including the CV and a brief proposal of two (2) pages maximum (60%) and an interview of the candidates (40%).</w:t>
      </w:r>
    </w:p>
    <w:p>
      <w:pPr>
        <w:spacing w:after="120"/>
        <w:ind w:firstLine="0"/>
      </w:pPr>
      <w:r>
        <w:rPr>
          <w:rFonts w:ascii="Calibri" w:hAnsi="Calibri" w:eastAsia="Calibri" w:cs="Calibri"/>
          <w:b w:val="0"/>
          <w:i w:val="0"/>
          <w:sz w:val="22"/>
        </w:rPr>
        <w:t xml:space="preserve">23. </w:t>
      </w:r>
      <w:r>
        <w:rPr>
          <w:rFonts w:ascii="Calibri" w:hAnsi="Calibri" w:eastAsia="Calibri" w:cs="Calibri"/>
          <w:b w:val="0"/>
          <w:i w:val="0"/>
          <w:sz w:val="22"/>
        </w:rPr>
        <w:t>The contract will be negotiated and awarded to the candidate obtaining the highest combined score.</w:t>
      </w:r>
    </w:p>
    <w:p>
      <w:pPr>
        <w:spacing w:after="120"/>
        <w:ind w:firstLine="0"/>
      </w:pPr>
      <w:r>
        <w:rPr>
          <w:rFonts w:ascii="Calibri" w:hAnsi="Calibri" w:eastAsia="Calibri" w:cs="Calibri"/>
          <w:b w:val="0"/>
          <w:i w:val="0"/>
          <w:sz w:val="22"/>
        </w:rPr>
        <w:t xml:space="preserve">24. </w:t>
      </w:r>
      <w:r>
        <w:rPr>
          <w:rFonts w:ascii="Calibri" w:hAnsi="Calibri" w:eastAsia="Calibri" w:cs="Calibri"/>
          <w:b w:val="0"/>
          <w:i w:val="0"/>
          <w:sz w:val="22"/>
        </w:rPr>
        <w:t>The CVs and technical criteria include the methodology, approach to undertake such assignment, the candidate's relevance to the assignment, experience in the related field, and key qualifications. The minimum score for technical qualification is 75.</w:t>
      </w:r>
    </w:p>
    <w:p>
      <w:pPr>
        <w:spacing w:after="120"/>
        <w:ind w:firstLine="0"/>
      </w:pPr>
      <w:r>
        <w:rPr>
          <w:rFonts w:ascii="Calibri" w:hAnsi="Calibri" w:eastAsia="Calibri" w:cs="Calibri"/>
          <w:b w:val="0"/>
          <w:i w:val="0"/>
          <w:sz w:val="22"/>
        </w:rPr>
        <w:t xml:space="preserve">25. </w:t>
      </w:r>
      <w:r>
        <w:rPr>
          <w:rFonts w:ascii="Calibri" w:hAnsi="Calibri" w:eastAsia="Calibri" w:cs="Calibri"/>
          <w:b w:val="0"/>
          <w:i w:val="0"/>
          <w:sz w:val="22"/>
        </w:rPr>
        <w:t>The following technical scores and evaluation criteria will be applied throughout the selection and evaluation process:</w:t>
      </w:r>
    </w:p>
    <w:p/>
    <w:tbl>
      <w:tblPr>
        <w:tblStyle w:val="TableGrid"/>
        <w:tblW w:type="auto" w:w="0"/>
        <w:jc w:val="center"/>
        <w:tblLook w:firstColumn="1" w:firstRow="1" w:lastColumn="0" w:lastRow="0" w:noHBand="0" w:noVBand="1" w:val="04A0"/>
      </w:tblPr>
      <w:tblGrid>
        <w:gridCol w:w="3041"/>
        <w:gridCol w:w="3041"/>
        <w:gridCol w:w="3041"/>
      </w:tblGrid>
      <w:tr>
        <w:tc>
          <w:tcPr>
            <w:tcW w:type="dxa" w:w="3041"/>
            <w:shd w:val="clear" w:color="auto" w:fill="003366"/>
          </w:tcPr>
          <w:p>
            <w:pPr>
              <w:jc w:val="center"/>
            </w:pPr>
            <w:r>
              <w:rPr>
                <w:rFonts w:ascii="Calibri" w:hAnsi="Calibri" w:eastAsia="Calibri" w:cs="Calibri"/>
                <w:b/>
                <w:i w:val="0"/>
                <w:color w:val="FFFFFF"/>
                <w:sz w:val="20"/>
              </w:rPr>
              <w:t>No</w:t>
            </w:r>
          </w:p>
        </w:tc>
        <w:tc>
          <w:tcPr>
            <w:tcW w:type="dxa" w:w="3041"/>
            <w:shd w:val="clear" w:color="auto" w:fill="003366"/>
          </w:tcPr>
          <w:p>
            <w:pPr>
              <w:jc w:val="center"/>
            </w:pPr>
            <w:r>
              <w:rPr>
                <w:rFonts w:ascii="Calibri" w:hAnsi="Calibri" w:eastAsia="Calibri" w:cs="Calibri"/>
                <w:b/>
                <w:i w:val="0"/>
                <w:color w:val="FFFFFF"/>
                <w:sz w:val="20"/>
              </w:rPr>
              <w:t>Evaluation Criteria</w:t>
            </w:r>
          </w:p>
        </w:tc>
        <w:tc>
          <w:tcPr>
            <w:tcW w:type="dxa" w:w="3041"/>
            <w:shd w:val="clear" w:color="auto" w:fill="003366"/>
          </w:tcPr>
          <w:p>
            <w:pPr>
              <w:jc w:val="center"/>
            </w:pPr>
            <w:r>
              <w:rPr>
                <w:rFonts w:ascii="Calibri" w:hAnsi="Calibri" w:eastAsia="Calibri" w:cs="Calibri"/>
                <w:b/>
                <w:i w:val="0"/>
                <w:color w:val="FFFFFF"/>
                <w:sz w:val="20"/>
              </w:rPr>
              <w:t>Point</w:t>
            </w:r>
          </w:p>
        </w:tc>
      </w:tr>
      <w:tr>
        <w:tc>
          <w:tcPr>
            <w:tcW w:type="dxa" w:w="3041"/>
            <w:shd w:val="clear" w:color="auto" w:fill="EAF0F6"/>
          </w:tcPr>
          <w:p>
            <w:r>
              <w:rPr>
                <w:rFonts w:ascii="Calibri" w:hAnsi="Calibri" w:eastAsia="Calibri" w:cs="Calibri"/>
                <w:b/>
                <w:i w:val="0"/>
                <w:sz w:val="20"/>
              </w:rPr>
              <w:t>1.</w:t>
            </w:r>
          </w:p>
        </w:tc>
        <w:tc>
          <w:tcPr>
            <w:tcW w:type="dxa" w:w="3041"/>
            <w:shd w:val="clear" w:color="auto" w:fill="EAF0F6"/>
          </w:tcPr>
          <w:p>
            <w:r>
              <w:rPr>
                <w:rFonts w:ascii="Calibri" w:hAnsi="Calibri" w:eastAsia="Calibri" w:cs="Calibri"/>
                <w:b/>
                <w:i w:val="0"/>
                <w:sz w:val="20"/>
              </w:rPr>
              <w:t>Relevance to the assignment</w:t>
            </w:r>
          </w:p>
        </w:tc>
        <w:tc>
          <w:tcPr>
            <w:tcW w:type="dxa" w:w="3041"/>
            <w:shd w:val="clear" w:color="auto" w:fill="EAF0F6"/>
          </w:tcPr>
          <w:p>
            <w:pPr>
              <w:jc w:val="center"/>
            </w:pPr>
            <w:r>
              <w:rPr>
                <w:rFonts w:ascii="Calibri" w:hAnsi="Calibri" w:eastAsia="Calibri" w:cs="Calibri"/>
                <w:b/>
                <w:i w:val="0"/>
                <w:sz w:val="20"/>
              </w:rPr>
              <w:t>10</w:t>
            </w:r>
          </w:p>
        </w:tc>
      </w:tr>
      <w:tr>
        <w:tc>
          <w:tcPr>
            <w:tcW w:type="dxa" w:w="3041"/>
            <w:shd w:val="clear" w:color="auto" w:fill="FFFFFF"/>
          </w:tcPr>
          <w:p>
            <w:r>
              <w:rPr>
                <w:rFonts w:ascii="Calibri" w:hAnsi="Calibri" w:eastAsia="Calibri" w:cs="Calibri"/>
                <w:b w:val="0"/>
                <w:i w:val="0"/>
                <w:sz w:val="20"/>
              </w:rPr>
              <w:t>1.1</w:t>
            </w:r>
          </w:p>
        </w:tc>
        <w:tc>
          <w:tcPr>
            <w:tcW w:type="dxa" w:w="3041"/>
            <w:shd w:val="clear" w:color="auto" w:fill="FFFFFF"/>
          </w:tcPr>
          <w:p>
            <w:r>
              <w:rPr>
                <w:rFonts w:ascii="Calibri" w:hAnsi="Calibri" w:eastAsia="Calibri" w:cs="Calibri"/>
                <w:b w:val="0"/>
                <w:i w:val="0"/>
                <w:sz w:val="20"/>
              </w:rPr>
              <w:t>English proficiency</w:t>
            </w:r>
          </w:p>
        </w:tc>
        <w:tc>
          <w:tcPr>
            <w:tcW w:type="dxa" w:w="3041"/>
            <w:shd w:val="clear" w:color="auto" w:fill="FFFFFF"/>
          </w:tcPr>
          <w:p>
            <w:pPr>
              <w:jc w:val="center"/>
            </w:pPr>
            <w:r>
              <w:rPr>
                <w:rFonts w:ascii="Calibri" w:hAnsi="Calibri" w:eastAsia="Calibri" w:cs="Calibri"/>
                <w:b w:val="0"/>
                <w:i w:val="0"/>
                <w:sz w:val="20"/>
              </w:rPr>
              <w:t>08</w:t>
            </w:r>
          </w:p>
        </w:tc>
      </w:tr>
      <w:tr>
        <w:tc>
          <w:tcPr>
            <w:tcW w:type="dxa" w:w="3041"/>
            <w:shd w:val="clear" w:color="auto" w:fill="FFFFFF"/>
          </w:tcPr>
          <w:p>
            <w:r>
              <w:rPr>
                <w:rFonts w:ascii="Calibri" w:hAnsi="Calibri" w:eastAsia="Calibri" w:cs="Calibri"/>
                <w:b w:val="0"/>
                <w:i w:val="0"/>
                <w:sz w:val="20"/>
              </w:rPr>
              <w:t>1.2</w:t>
            </w:r>
          </w:p>
        </w:tc>
        <w:tc>
          <w:tcPr>
            <w:tcW w:type="dxa" w:w="3041"/>
            <w:shd w:val="clear" w:color="auto" w:fill="FFFFFF"/>
          </w:tcPr>
          <w:p>
            <w:r>
              <w:rPr>
                <w:rFonts w:ascii="Calibri" w:hAnsi="Calibri" w:eastAsia="Calibri" w:cs="Calibri"/>
                <w:b w:val="0"/>
                <w:i w:val="0"/>
                <w:sz w:val="20"/>
              </w:rPr>
              <w:t>Knowledge of another language and the constraint</w:t>
            </w:r>
          </w:p>
        </w:tc>
        <w:tc>
          <w:tcPr>
            <w:tcW w:type="dxa" w:w="3041"/>
            <w:shd w:val="clear" w:color="auto" w:fill="FFFFFF"/>
          </w:tcPr>
          <w:p>
            <w:pPr>
              <w:jc w:val="center"/>
            </w:pPr>
            <w:r>
              <w:rPr>
                <w:rFonts w:ascii="Calibri" w:hAnsi="Calibri" w:eastAsia="Calibri" w:cs="Calibri"/>
                <w:b w:val="0"/>
                <w:i w:val="0"/>
                <w:sz w:val="20"/>
              </w:rPr>
              <w:t>02</w:t>
            </w:r>
          </w:p>
        </w:tc>
      </w:tr>
      <w:tr>
        <w:tc>
          <w:tcPr>
            <w:tcW w:type="dxa" w:w="3041"/>
            <w:shd w:val="clear" w:color="auto" w:fill="EAF0F6"/>
          </w:tcPr>
          <w:p>
            <w:r>
              <w:rPr>
                <w:rFonts w:ascii="Calibri" w:hAnsi="Calibri" w:eastAsia="Calibri" w:cs="Calibri"/>
                <w:b/>
                <w:i w:val="0"/>
                <w:sz w:val="20"/>
              </w:rPr>
              <w:t>2.</w:t>
            </w:r>
          </w:p>
        </w:tc>
        <w:tc>
          <w:tcPr>
            <w:tcW w:type="dxa" w:w="3041"/>
            <w:shd w:val="clear" w:color="auto" w:fill="EAF0F6"/>
          </w:tcPr>
          <w:p>
            <w:r>
              <w:rPr>
                <w:rFonts w:ascii="Calibri" w:hAnsi="Calibri" w:eastAsia="Calibri" w:cs="Calibri"/>
                <w:b/>
                <w:i w:val="0"/>
                <w:sz w:val="20"/>
              </w:rPr>
              <w:t>Adequacy for the assignment</w:t>
            </w:r>
          </w:p>
        </w:tc>
        <w:tc>
          <w:tcPr>
            <w:tcW w:type="dxa" w:w="3041"/>
            <w:shd w:val="clear" w:color="auto" w:fill="EAF0F6"/>
          </w:tcPr>
          <w:p>
            <w:pPr>
              <w:jc w:val="center"/>
            </w:pPr>
            <w:r>
              <w:rPr>
                <w:rFonts w:ascii="Calibri" w:hAnsi="Calibri" w:eastAsia="Calibri" w:cs="Calibri"/>
                <w:b/>
                <w:i w:val="0"/>
                <w:sz w:val="20"/>
              </w:rPr>
              <w:t>40</w:t>
            </w:r>
          </w:p>
        </w:tc>
      </w:tr>
      <w:tr>
        <w:tc>
          <w:tcPr>
            <w:tcW w:type="dxa" w:w="3041"/>
            <w:shd w:val="clear" w:color="auto" w:fill="FFFFFF"/>
          </w:tcPr>
          <w:p>
            <w:r>
              <w:rPr>
                <w:rFonts w:ascii="Calibri" w:hAnsi="Calibri" w:eastAsia="Calibri" w:cs="Calibri"/>
                <w:b w:val="0"/>
                <w:i w:val="0"/>
                <w:sz w:val="20"/>
              </w:rPr>
              <w:t>2.1</w:t>
            </w:r>
          </w:p>
        </w:tc>
        <w:tc>
          <w:tcPr>
            <w:tcW w:type="dxa" w:w="3041"/>
            <w:shd w:val="clear" w:color="auto" w:fill="FFFFFF"/>
          </w:tcPr>
          <w:p>
            <w:r>
              <w:rPr>
                <w:rFonts w:ascii="Calibri" w:hAnsi="Calibri" w:eastAsia="Calibri" w:cs="Calibri"/>
                <w:b w:val="0"/>
                <w:i w:val="0"/>
                <w:sz w:val="20"/>
              </w:rPr>
              <w:t>Comprehension of Terms of Reference</w:t>
            </w:r>
          </w:p>
        </w:tc>
        <w:tc>
          <w:tcPr>
            <w:tcW w:type="dxa" w:w="3041"/>
            <w:shd w:val="clear" w:color="auto" w:fill="FFFFFF"/>
          </w:tcPr>
          <w:p>
            <w:pPr>
              <w:jc w:val="center"/>
            </w:pPr>
            <w:r>
              <w:rPr>
                <w:rFonts w:ascii="Calibri" w:hAnsi="Calibri" w:eastAsia="Calibri" w:cs="Calibri"/>
                <w:b w:val="0"/>
                <w:i w:val="0"/>
                <w:sz w:val="20"/>
              </w:rPr>
              <w:t>20</w:t>
            </w:r>
          </w:p>
        </w:tc>
      </w:tr>
      <w:tr>
        <w:tc>
          <w:tcPr>
            <w:tcW w:type="dxa" w:w="3041"/>
            <w:shd w:val="clear" w:color="auto" w:fill="FFFFFF"/>
          </w:tcPr>
          <w:p>
            <w:r>
              <w:rPr>
                <w:rFonts w:ascii="Calibri" w:hAnsi="Calibri" w:eastAsia="Calibri" w:cs="Calibri"/>
                <w:b w:val="0"/>
                <w:i w:val="0"/>
                <w:sz w:val="20"/>
              </w:rPr>
              <w:t>2.2</w:t>
            </w:r>
          </w:p>
        </w:tc>
        <w:tc>
          <w:tcPr>
            <w:tcW w:type="dxa" w:w="3041"/>
            <w:shd w:val="clear" w:color="auto" w:fill="FFFFFF"/>
          </w:tcPr>
          <w:p>
            <w:r>
              <w:rPr>
                <w:rFonts w:ascii="Calibri" w:hAnsi="Calibri" w:eastAsia="Calibri" w:cs="Calibri"/>
                <w:b w:val="0"/>
                <w:i w:val="0"/>
                <w:sz w:val="20"/>
              </w:rPr>
              <w:t>Organization, methodology</w:t>
            </w:r>
          </w:p>
        </w:tc>
        <w:tc>
          <w:tcPr>
            <w:tcW w:type="dxa" w:w="3041"/>
            <w:shd w:val="clear" w:color="auto" w:fill="FFFFFF"/>
          </w:tcPr>
          <w:p>
            <w:pPr>
              <w:jc w:val="center"/>
            </w:pPr>
            <w:r>
              <w:rPr>
                <w:rFonts w:ascii="Calibri" w:hAnsi="Calibri" w:eastAsia="Calibri" w:cs="Calibri"/>
                <w:b w:val="0"/>
                <w:i w:val="0"/>
                <w:sz w:val="20"/>
              </w:rPr>
              <w:t>20</w:t>
            </w:r>
          </w:p>
        </w:tc>
      </w:tr>
      <w:tr>
        <w:tc>
          <w:tcPr>
            <w:tcW w:type="dxa" w:w="3041"/>
            <w:shd w:val="clear" w:color="auto" w:fill="EAF0F6"/>
          </w:tcPr>
          <w:p>
            <w:r>
              <w:rPr>
                <w:rFonts w:ascii="Calibri" w:hAnsi="Calibri" w:eastAsia="Calibri" w:cs="Calibri"/>
                <w:b/>
                <w:i w:val="0"/>
                <w:sz w:val="20"/>
              </w:rPr>
              <w:t>3.</w:t>
            </w:r>
          </w:p>
        </w:tc>
        <w:tc>
          <w:tcPr>
            <w:tcW w:type="dxa" w:w="3041"/>
            <w:shd w:val="clear" w:color="auto" w:fill="EAF0F6"/>
          </w:tcPr>
          <w:p>
            <w:r>
              <w:rPr>
                <w:rFonts w:ascii="Calibri" w:hAnsi="Calibri" w:eastAsia="Calibri" w:cs="Calibri"/>
                <w:b/>
                <w:i w:val="0"/>
                <w:sz w:val="20"/>
              </w:rPr>
              <w:t>Qualifications and Competencies of the consultant in the assignment</w:t>
            </w:r>
          </w:p>
        </w:tc>
        <w:tc>
          <w:tcPr>
            <w:tcW w:type="dxa" w:w="3041"/>
            <w:shd w:val="clear" w:color="auto" w:fill="EAF0F6"/>
          </w:tcPr>
          <w:p>
            <w:pPr>
              <w:jc w:val="center"/>
            </w:pPr>
            <w:r>
              <w:rPr>
                <w:rFonts w:ascii="Calibri" w:hAnsi="Calibri" w:eastAsia="Calibri" w:cs="Calibri"/>
                <w:b/>
                <w:i w:val="0"/>
                <w:sz w:val="20"/>
              </w:rPr>
              <w:t>50</w:t>
            </w:r>
          </w:p>
        </w:tc>
      </w:tr>
      <w:tr>
        <w:tc>
          <w:tcPr>
            <w:tcW w:type="dxa" w:w="3041"/>
            <w:shd w:val="clear" w:color="auto" w:fill="FFFFFF"/>
          </w:tcPr>
          <w:p>
            <w:r>
              <w:rPr>
                <w:rFonts w:ascii="Calibri" w:hAnsi="Calibri" w:eastAsia="Calibri" w:cs="Calibri"/>
                <w:b w:val="0"/>
                <w:i w:val="0"/>
                <w:sz w:val="20"/>
              </w:rPr>
              <w:t>3.1</w:t>
            </w:r>
          </w:p>
        </w:tc>
        <w:tc>
          <w:tcPr>
            <w:tcW w:type="dxa" w:w="3041"/>
            <w:shd w:val="clear" w:color="auto" w:fill="FFFFFF"/>
          </w:tcPr>
          <w:p>
            <w:r>
              <w:rPr>
                <w:rFonts w:ascii="Calibri" w:hAnsi="Calibri" w:eastAsia="Calibri" w:cs="Calibri"/>
                <w:b w:val="0"/>
                <w:i w:val="0"/>
                <w:sz w:val="20"/>
              </w:rPr>
              <w:t>General qualifications (academic profile, years of experience)</w:t>
            </w:r>
          </w:p>
        </w:tc>
        <w:tc>
          <w:tcPr>
            <w:tcW w:type="dxa" w:w="3041"/>
            <w:shd w:val="clear" w:color="auto" w:fill="FFFFFF"/>
          </w:tcPr>
          <w:p>
            <w:pPr>
              <w:jc w:val="center"/>
            </w:pPr>
            <w:r>
              <w:rPr>
                <w:rFonts w:ascii="Calibri" w:hAnsi="Calibri" w:eastAsia="Calibri" w:cs="Calibri"/>
                <w:b w:val="0"/>
                <w:i w:val="0"/>
                <w:sz w:val="20"/>
              </w:rPr>
              <w:t>25</w:t>
            </w:r>
          </w:p>
        </w:tc>
      </w:tr>
      <w:tr>
        <w:tc>
          <w:tcPr>
            <w:tcW w:type="dxa" w:w="3041"/>
            <w:shd w:val="clear" w:color="auto" w:fill="FFFFFF"/>
          </w:tcPr>
          <w:p>
            <w:r>
              <w:rPr>
                <w:rFonts w:ascii="Calibri" w:hAnsi="Calibri" w:eastAsia="Calibri" w:cs="Calibri"/>
                <w:b w:val="0"/>
                <w:i w:val="0"/>
                <w:sz w:val="20"/>
              </w:rPr>
              <w:t>3.2</w:t>
            </w:r>
          </w:p>
        </w:tc>
        <w:tc>
          <w:tcPr>
            <w:tcW w:type="dxa" w:w="3041"/>
            <w:shd w:val="clear" w:color="auto" w:fill="FFFFFF"/>
          </w:tcPr>
          <w:p>
            <w:r>
              <w:rPr>
                <w:rFonts w:ascii="Calibri" w:hAnsi="Calibri" w:eastAsia="Calibri" w:cs="Calibri"/>
                <w:b w:val="0"/>
                <w:i w:val="0"/>
                <w:sz w:val="20"/>
              </w:rPr>
              <w:t>Similar experience with development program</w:t>
            </w:r>
          </w:p>
        </w:tc>
        <w:tc>
          <w:tcPr>
            <w:tcW w:type="dxa" w:w="3041"/>
            <w:shd w:val="clear" w:color="auto" w:fill="FFFFFF"/>
          </w:tcPr>
          <w:p>
            <w:pPr>
              <w:jc w:val="center"/>
            </w:pPr>
            <w:r>
              <w:rPr>
                <w:rFonts w:ascii="Calibri" w:hAnsi="Calibri" w:eastAsia="Calibri" w:cs="Calibri"/>
                <w:b w:val="0"/>
                <w:i w:val="0"/>
                <w:sz w:val="20"/>
              </w:rPr>
              <w:t>25</w:t>
            </w:r>
          </w:p>
        </w:tc>
      </w:tr>
      <w:tr>
        <w:tc>
          <w:tcPr>
            <w:tcW w:type="dxa" w:w="3041"/>
            <w:shd w:val="clear" w:color="auto" w:fill="EAF0F6"/>
          </w:tcPr>
          <w:p>
            <w:r>
              <w:rPr>
                <w:rFonts w:ascii="Calibri" w:hAnsi="Calibri" w:eastAsia="Calibri" w:cs="Calibri"/>
                <w:b/>
                <w:i w:val="0"/>
                <w:sz w:val="20"/>
              </w:rPr>
            </w:r>
          </w:p>
        </w:tc>
        <w:tc>
          <w:tcPr>
            <w:tcW w:type="dxa" w:w="3041"/>
            <w:shd w:val="clear" w:color="auto" w:fill="EAF0F6"/>
          </w:tcPr>
          <w:p>
            <w:r>
              <w:rPr>
                <w:rFonts w:ascii="Calibri" w:hAnsi="Calibri" w:eastAsia="Calibri" w:cs="Calibri"/>
                <w:b/>
                <w:i w:val="0"/>
                <w:sz w:val="20"/>
              </w:rPr>
              <w:t>TOTAL</w:t>
            </w:r>
          </w:p>
        </w:tc>
        <w:tc>
          <w:tcPr>
            <w:tcW w:type="dxa" w:w="3041"/>
            <w:shd w:val="clear" w:color="auto" w:fill="EAF0F6"/>
          </w:tcPr>
          <w:p>
            <w:pPr>
              <w:jc w:val="center"/>
            </w:pPr>
            <w:r>
              <w:rPr>
                <w:rFonts w:ascii="Calibri" w:hAnsi="Calibri" w:eastAsia="Calibri" w:cs="Calibri"/>
                <w:b/>
                <w:i w:val="0"/>
                <w:sz w:val="20"/>
              </w:rPr>
              <w:t>100</w:t>
            </w:r>
          </w:p>
        </w:tc>
      </w:tr>
    </w:tbl>
    <w:p/>
    <w:p>
      <w:pPr>
        <w:pStyle w:val="Heading3"/>
      </w:pPr>
      <w:r>
        <w:rPr>
          <w:rFonts w:ascii="Calibri" w:hAnsi="Calibri" w:eastAsia="Calibri" w:cs="Calibri"/>
          <w:b/>
          <w:i w:val="0"/>
          <w:color w:val="003366"/>
          <w:sz w:val="24"/>
        </w:rPr>
        <w:t>Proposal Requirements</w:t>
      </w:r>
    </w:p>
    <w:p>
      <w:pPr>
        <w:pStyle w:val="Heading3"/>
      </w:pPr>
      <w:r>
        <w:rPr>
          <w:rFonts w:ascii="Calibri" w:hAnsi="Calibri" w:eastAsia="Calibri" w:cs="Calibri"/>
          <w:b/>
          <w:i w:val="0"/>
          <w:color w:val="003366"/>
          <w:sz w:val="22"/>
        </w:rPr>
        <w:t>Submission of Proposal</w:t>
      </w:r>
    </w:p>
    <w:p>
      <w:pPr>
        <w:spacing w:after="120"/>
        <w:ind w:firstLine="0"/>
      </w:pPr>
      <w:r>
        <w:rPr>
          <w:rFonts w:ascii="Calibri" w:hAnsi="Calibri" w:eastAsia="Calibri" w:cs="Calibri"/>
          <w:b w:val="0"/>
          <w:i w:val="0"/>
          <w:sz w:val="22"/>
        </w:rPr>
        <w:t xml:space="preserve">26. </w:t>
      </w:r>
      <w:r>
        <w:rPr>
          <w:rFonts w:ascii="Calibri" w:hAnsi="Calibri" w:eastAsia="Calibri" w:cs="Calibri"/>
          <w:b w:val="0"/>
          <w:i w:val="0"/>
          <w:sz w:val="22"/>
        </w:rPr>
        <w:t>IsDB accepts CVs and brief Technical Proposals (2 pages maximum) delivered through e-mail in PDF format. Proposals should be sent to: 3R-Facility@isdb.org and M.alhadi@isdb.org.</w:t>
      </w:r>
    </w:p>
    <w:p>
      <w:pPr>
        <w:spacing w:after="120"/>
        <w:ind w:firstLine="0"/>
      </w:pPr>
      <w:r>
        <w:rPr>
          <w:rFonts w:ascii="Calibri" w:hAnsi="Calibri" w:eastAsia="Calibri" w:cs="Calibri"/>
          <w:b w:val="0"/>
          <w:i w:val="0"/>
          <w:sz w:val="22"/>
        </w:rPr>
        <w:t xml:space="preserve">27. </w:t>
      </w:r>
      <w:r>
        <w:rPr>
          <w:rFonts w:ascii="Calibri" w:hAnsi="Calibri" w:eastAsia="Calibri" w:cs="Calibri"/>
          <w:b w:val="0"/>
          <w:i w:val="0"/>
          <w:sz w:val="22"/>
        </w:rPr>
        <w:t>The email subject should clearly indicate: "Proposal for Monitoring, Evaluation, and Data Officer — 3R Facility." Proposals submitted after the deadline stated in the letter of invitation will not be accepted. Candidates are encouraged to submit their proposals as early as possible.</w:t>
      </w:r>
    </w:p>
    <w:sectPr w:rsidR="00FC693F" w:rsidRPr="0006063C" w:rsidSect="00034616">
      <w:pgSz w:w="12240" w:h="15840"/>
      <w:pgMar w:top="1417" w:right="1417"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eastAsia="Calibri" w:cs="Calibri"/>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