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4665D" w14:textId="77777777" w:rsidR="007E38DB" w:rsidRPr="00A56668" w:rsidRDefault="00D77C03">
      <w:pPr>
        <w:spacing w:after="60"/>
        <w:jc w:val="center"/>
        <w:rPr>
          <w:lang w:val="fr-FR"/>
        </w:rPr>
      </w:pPr>
      <w:r w:rsidRPr="00A56668">
        <w:rPr>
          <w:b/>
          <w:bCs/>
          <w:sz w:val="26"/>
          <w:szCs w:val="26"/>
          <w:lang w:val="fr-FR"/>
        </w:rPr>
        <w:t>APPEL À MANIFESTATION D'INTÉRÊT</w:t>
      </w:r>
    </w:p>
    <w:p w14:paraId="7447A6FE" w14:textId="77777777" w:rsidR="007E38DB" w:rsidRPr="00A56668" w:rsidRDefault="00D77C03">
      <w:pPr>
        <w:spacing w:after="60"/>
        <w:jc w:val="center"/>
        <w:rPr>
          <w:lang w:val="fr-FR"/>
        </w:rPr>
      </w:pPr>
      <w:r w:rsidRPr="00A56668">
        <w:rPr>
          <w:b/>
          <w:bCs/>
          <w:sz w:val="26"/>
          <w:szCs w:val="26"/>
          <w:lang w:val="fr-FR"/>
        </w:rPr>
        <w:t>(SERVICES DE CONSULTANTS — SÉLECTION DE FIRMES)</w:t>
      </w:r>
    </w:p>
    <w:p w14:paraId="7BDE5ABA" w14:textId="77777777" w:rsidR="007E38DB" w:rsidRPr="00A56668" w:rsidRDefault="00D77C03">
      <w:pPr>
        <w:spacing w:after="200"/>
        <w:jc w:val="center"/>
        <w:rPr>
          <w:lang w:val="fr-FR"/>
        </w:rPr>
      </w:pPr>
      <w:r w:rsidRPr="00A56668">
        <w:rPr>
          <w:sz w:val="22"/>
          <w:szCs w:val="22"/>
          <w:lang w:val="fr-FR"/>
        </w:rPr>
        <w:t>République Islamique de Mauritanie</w:t>
      </w:r>
    </w:p>
    <w:p w14:paraId="1C4B8689" w14:textId="77777777" w:rsidR="007E38DB" w:rsidRPr="00A56668" w:rsidRDefault="00D77C03">
      <w:pPr>
        <w:spacing w:after="200"/>
        <w:jc w:val="center"/>
        <w:rPr>
          <w:lang w:val="fr-FR"/>
        </w:rPr>
      </w:pPr>
      <w:r w:rsidRPr="00A56668">
        <w:rPr>
          <w:sz w:val="22"/>
          <w:szCs w:val="22"/>
          <w:lang w:val="fr-FR"/>
        </w:rPr>
        <w:t>Mise en place de l'incubateur d'entreprises « BINA » pour l'entrepreneuriat en Mauritanie</w:t>
      </w:r>
    </w:p>
    <w:p w14:paraId="1874FE14" w14:textId="77777777" w:rsidR="007E38DB" w:rsidRPr="00A56668" w:rsidRDefault="00D77C03">
      <w:pPr>
        <w:spacing w:after="200"/>
        <w:jc w:val="center"/>
        <w:rPr>
          <w:lang w:val="fr-FR"/>
        </w:rPr>
      </w:pPr>
      <w:r w:rsidRPr="00A56668">
        <w:rPr>
          <w:sz w:val="22"/>
          <w:szCs w:val="22"/>
          <w:lang w:val="fr-FR"/>
        </w:rPr>
        <w:t>Secteur : Développement du secteur privé — Entrepreneuriat et appui aux PME</w:t>
      </w:r>
    </w:p>
    <w:p w14:paraId="5B44039B" w14:textId="77777777" w:rsidR="007E38DB" w:rsidRPr="00A56668" w:rsidRDefault="00D77C03">
      <w:pPr>
        <w:spacing w:after="80"/>
        <w:rPr>
          <w:lang w:val="fr-FR"/>
        </w:rPr>
      </w:pPr>
      <w:r w:rsidRPr="00A56668">
        <w:rPr>
          <w:b/>
          <w:bCs/>
          <w:sz w:val="21"/>
          <w:szCs w:val="21"/>
          <w:lang w:val="fr-FR"/>
        </w:rPr>
        <w:t>SERVICES DE CONSULTANTS</w:t>
      </w:r>
    </w:p>
    <w:p w14:paraId="5B4B2FF1" w14:textId="77777777" w:rsidR="007E38DB" w:rsidRPr="00A56668" w:rsidRDefault="00D77C03">
      <w:pPr>
        <w:spacing w:after="160" w:line="300" w:lineRule="auto"/>
        <w:rPr>
          <w:lang w:val="fr-FR"/>
        </w:rPr>
      </w:pPr>
      <w:r w:rsidRPr="00A56668">
        <w:rPr>
          <w:sz w:val="21"/>
          <w:szCs w:val="21"/>
          <w:lang w:val="fr-FR"/>
        </w:rPr>
        <w:t>Mode de financement : Financement islamique — Don d'assistance technique, conforme à la Charia.</w:t>
      </w:r>
    </w:p>
    <w:p w14:paraId="6E7B1A32" w14:textId="77777777" w:rsidR="007E38DB" w:rsidRPr="00A56668" w:rsidRDefault="00D77C03">
      <w:pPr>
        <w:spacing w:after="160" w:line="300" w:lineRule="auto"/>
        <w:rPr>
          <w:lang w:val="fr-FR"/>
        </w:rPr>
      </w:pPr>
      <w:r w:rsidRPr="00A56668">
        <w:rPr>
          <w:sz w:val="21"/>
          <w:szCs w:val="21"/>
          <w:lang w:val="fr-FR"/>
        </w:rPr>
        <w:t>N° de Financement / Référence projet : MRT-1065</w:t>
      </w:r>
    </w:p>
    <w:p w14:paraId="03A8F4B7" w14:textId="77777777" w:rsidR="007E38DB" w:rsidRPr="00A56668" w:rsidRDefault="00D77C03">
      <w:pPr>
        <w:spacing w:after="160" w:line="300" w:lineRule="auto"/>
        <w:rPr>
          <w:lang w:val="fr-FR"/>
        </w:rPr>
      </w:pPr>
      <w:r w:rsidRPr="00A56668">
        <w:rPr>
          <w:sz w:val="21"/>
          <w:szCs w:val="21"/>
          <w:lang w:val="fr-FR"/>
        </w:rPr>
        <w:t>BINA Mauritanie pour le Développement Durable a reçu un financement de la Banque Islamique de Développement (BID), cofinancé par l'IICO, afin de couvrir le coût du projet « Mise en place de l'incubateur d'entreprises BINA pour l'entrepreneuriat en Mauritanie », et a l'intention d'utiliser une partie des sommes accordées pour financer des services de consultant.</w:t>
      </w:r>
    </w:p>
    <w:p w14:paraId="03C0D066" w14:textId="645DB9A1" w:rsidR="007E38DB" w:rsidRPr="00A56668" w:rsidRDefault="00D77C03">
      <w:pPr>
        <w:spacing w:after="160" w:line="300" w:lineRule="auto"/>
        <w:rPr>
          <w:lang w:val="fr-FR"/>
        </w:rPr>
      </w:pPr>
      <w:r w:rsidRPr="00A56668">
        <w:rPr>
          <w:sz w:val="21"/>
          <w:szCs w:val="21"/>
          <w:lang w:val="fr-FR"/>
        </w:rPr>
        <w:t>Les services comprennent la mise en œuvre de l'assistance technique couvrant : le renforcement institutionnel de l'incubateur BINA,</w:t>
      </w:r>
      <w:r w:rsidR="004F349D" w:rsidRPr="004F349D">
        <w:rPr>
          <w:sz w:val="21"/>
          <w:szCs w:val="21"/>
          <w:lang w:val="fr-FR"/>
        </w:rPr>
        <w:t xml:space="preserve"> </w:t>
      </w:r>
      <w:r w:rsidRPr="00A56668">
        <w:rPr>
          <w:sz w:val="21"/>
          <w:szCs w:val="21"/>
          <w:lang w:val="fr-FR"/>
        </w:rPr>
        <w:t xml:space="preserve">le développement des capacités de 100 startups et 100 micro-entreprises (Composante 2), et la mise en réseau entre entrepreneurs, investisseurs et institutions financières (Composante 4). La mission est estimée à environ 28 experts-mois pour le personnel-clé, sur une durée d'exécution d'environ 15 mois (mois 1 à mois 15 du calendrier de mise en œuvre du projet), avec une modalité hybride combinant activités en présentiel à Nouakchott et interventions à distance. </w:t>
      </w:r>
    </w:p>
    <w:p w14:paraId="17078A36" w14:textId="77777777" w:rsidR="007E38DB" w:rsidRPr="00A56668" w:rsidRDefault="00D77C03">
      <w:pPr>
        <w:spacing w:after="160" w:line="300" w:lineRule="auto"/>
        <w:rPr>
          <w:lang w:val="fr-FR"/>
        </w:rPr>
      </w:pPr>
      <w:r w:rsidRPr="00A56668">
        <w:rPr>
          <w:sz w:val="21"/>
          <w:szCs w:val="21"/>
          <w:lang w:val="fr-FR"/>
        </w:rPr>
        <w:t>Les Termes de Référence (</w:t>
      </w:r>
      <w:proofErr w:type="spellStart"/>
      <w:r w:rsidRPr="00A56668">
        <w:rPr>
          <w:sz w:val="21"/>
          <w:szCs w:val="21"/>
          <w:lang w:val="fr-FR"/>
        </w:rPr>
        <w:t>TdR</w:t>
      </w:r>
      <w:proofErr w:type="spellEnd"/>
      <w:r w:rsidRPr="00A56668">
        <w:rPr>
          <w:sz w:val="21"/>
          <w:szCs w:val="21"/>
          <w:lang w:val="fr-FR"/>
        </w:rPr>
        <w:t>) détaillés de la mission sont joints au présent appel à manifestation d'intérêt.</w:t>
      </w:r>
    </w:p>
    <w:p w14:paraId="174DF317" w14:textId="00C05228" w:rsidR="007E38DB" w:rsidRPr="00A56668" w:rsidRDefault="00D77C03">
      <w:pPr>
        <w:spacing w:after="160" w:line="300" w:lineRule="auto"/>
        <w:rPr>
          <w:lang w:val="fr-FR"/>
        </w:rPr>
      </w:pPr>
      <w:r w:rsidRPr="00A56668">
        <w:rPr>
          <w:sz w:val="21"/>
          <w:szCs w:val="21"/>
          <w:lang w:val="fr-FR"/>
        </w:rPr>
        <w:t>BINA Mauritanie pour le Développement Durable, Agence d'Exécution du projet, invite les bureaux de Consultants éligibles à manifester leur intérêt en vue de fournir les services ci-dessus. Les Consultants intéressés doivent fournir des renseignements spécifiques démontrant qu'ils sont pleinement qualifiés pour réaliser les prestations (documentation, références de prestations similaires, expérience dans des conditions comparables, disponibilité de compétences adéquates parmi leur personnel, etc.).</w:t>
      </w:r>
    </w:p>
    <w:p w14:paraId="2473790C" w14:textId="77777777" w:rsidR="007E38DB" w:rsidRPr="00A56668" w:rsidRDefault="00D77C03">
      <w:pPr>
        <w:spacing w:after="160" w:line="300" w:lineRule="auto"/>
        <w:rPr>
          <w:lang w:val="fr-FR"/>
        </w:rPr>
      </w:pPr>
      <w:r w:rsidRPr="00A56668">
        <w:rPr>
          <w:sz w:val="21"/>
          <w:szCs w:val="21"/>
          <w:lang w:val="fr-FR"/>
        </w:rPr>
        <w:t>Le bureau de Consultants le mieux qualifié pour réaliser ces services sera sélectionné conformément à la méthode de sélection basée sur les qualifications du consultant (SQC) prévue dans le Règlement, et selon les critères suivants :</w:t>
      </w:r>
    </w:p>
    <w:p w14:paraId="7CF783F8" w14:textId="77777777" w:rsidR="007E38DB" w:rsidRPr="00A56668" w:rsidRDefault="00D77C03">
      <w:pPr>
        <w:spacing w:after="80"/>
        <w:rPr>
          <w:lang w:val="fr-FR"/>
        </w:rPr>
      </w:pPr>
      <w:r w:rsidRPr="00A56668">
        <w:rPr>
          <w:b/>
          <w:bCs/>
          <w:sz w:val="21"/>
          <w:szCs w:val="21"/>
          <w:lang w:val="fr-FR"/>
        </w:rPr>
        <w:t>Exigences minimales obligatoires</w:t>
      </w:r>
    </w:p>
    <w:p w14:paraId="3E8EAD4A" w14:textId="02007723" w:rsidR="007E38DB" w:rsidRPr="00A56668" w:rsidRDefault="00D77C03">
      <w:pPr>
        <w:spacing w:after="100" w:line="280" w:lineRule="auto"/>
        <w:ind w:left="420"/>
        <w:rPr>
          <w:lang w:val="fr-FR"/>
        </w:rPr>
      </w:pPr>
      <w:r w:rsidRPr="00A56668">
        <w:rPr>
          <w:sz w:val="21"/>
          <w:szCs w:val="21"/>
          <w:lang w:val="fr-FR"/>
        </w:rPr>
        <w:t>•  La firme doit être légalement constituée et avoir pour domaine d'activité principal l'incubation, l'accélération d'entreprises ou le développement entrepreneurial.</w:t>
      </w:r>
    </w:p>
    <w:p w14:paraId="029AD4D1" w14:textId="6D1C7D5A" w:rsidR="007E38DB" w:rsidRPr="00A56668" w:rsidRDefault="00D77C03">
      <w:pPr>
        <w:spacing w:after="100" w:line="280" w:lineRule="auto"/>
        <w:ind w:left="420"/>
        <w:rPr>
          <w:lang w:val="fr-FR"/>
        </w:rPr>
      </w:pPr>
      <w:r w:rsidRPr="00A56668">
        <w:rPr>
          <w:sz w:val="21"/>
          <w:szCs w:val="21"/>
          <w:lang w:val="fr-FR"/>
        </w:rPr>
        <w:t>•  La firme doit démontrer avoir accompagné au moins deux cents (200) startups et/ou PME en incubation, accélération ou accompagnement entrepreneurial au cours des trois (3) dernières années.</w:t>
      </w:r>
    </w:p>
    <w:p w14:paraId="08E2FCBE" w14:textId="77777777" w:rsidR="007E38DB" w:rsidRPr="00A56668" w:rsidRDefault="00D77C03">
      <w:pPr>
        <w:spacing w:after="100" w:line="280" w:lineRule="auto"/>
        <w:ind w:left="420"/>
        <w:rPr>
          <w:lang w:val="fr-FR"/>
        </w:rPr>
      </w:pPr>
      <w:r w:rsidRPr="00A56668">
        <w:rPr>
          <w:sz w:val="21"/>
          <w:szCs w:val="21"/>
          <w:lang w:val="fr-FR"/>
        </w:rPr>
        <w:t>•  La firme doit démontrer une expérience de mise en œuvre de missions financées par la Banque Islamique de Développement ou par une autre banque multilatérale de développement comparable.</w:t>
      </w:r>
    </w:p>
    <w:p w14:paraId="0706BBF4" w14:textId="77777777" w:rsidR="007E38DB" w:rsidRPr="00A56668" w:rsidRDefault="00D77C03">
      <w:pPr>
        <w:spacing w:after="100" w:line="280" w:lineRule="auto"/>
        <w:ind w:left="420"/>
        <w:rPr>
          <w:lang w:val="fr-FR"/>
        </w:rPr>
      </w:pPr>
      <w:r w:rsidRPr="00A56668">
        <w:rPr>
          <w:sz w:val="21"/>
          <w:szCs w:val="21"/>
          <w:lang w:val="fr-FR"/>
        </w:rPr>
        <w:t>•  La firme doit démontrer sa capacité à mobiliser une équipe pluridisciplinaire incluant, au minimum, une expertise en gestion de projet/renforcement institutionnel, une expertise en incubation/entrepreneuriat, une expertise en digitalisation des services d'incubation, et une expertise en accompagnement des micro/petites entreprises.</w:t>
      </w:r>
    </w:p>
    <w:p w14:paraId="3E8EAD4B" w14:textId="77777777" w:rsidR="007E38DB" w:rsidRPr="00A56668" w:rsidRDefault="00D77C03">
      <w:pPr>
        <w:spacing w:after="100" w:line="280" w:lineRule="auto"/>
        <w:ind w:left="420"/>
        <w:rPr>
          <w:lang w:val="fr-FR"/>
        </w:rPr>
      </w:pPr>
      <w:r w:rsidRPr="00A56668">
        <w:rPr>
          <w:sz w:val="21"/>
          <w:szCs w:val="21"/>
          <w:lang w:val="fr-FR"/>
        </w:rPr>
        <w:t>•  La maîtrise de l'arabe est requise pour l'équipe-clé ; le français ou l'anglais est souhaité en complément.</w:t>
      </w:r>
    </w:p>
    <w:p w14:paraId="28652938" w14:textId="77777777" w:rsidR="007E38DB" w:rsidRPr="00A56668" w:rsidRDefault="00D77C03">
      <w:pPr>
        <w:spacing w:after="80"/>
        <w:rPr>
          <w:lang w:val="fr-FR"/>
        </w:rPr>
      </w:pPr>
      <w:r w:rsidRPr="00A56668">
        <w:rPr>
          <w:b/>
          <w:bCs/>
          <w:sz w:val="21"/>
          <w:szCs w:val="21"/>
          <w:lang w:val="fr-FR"/>
        </w:rPr>
        <w:t>Exigences souhaitables</w:t>
      </w:r>
    </w:p>
    <w:p w14:paraId="4BEB0CA8" w14:textId="62699FA9" w:rsidR="007E38DB" w:rsidRPr="00A56668" w:rsidRDefault="00D77C03" w:rsidP="00DE0A50">
      <w:pPr>
        <w:spacing w:after="100" w:line="280" w:lineRule="auto"/>
        <w:ind w:left="420"/>
        <w:rPr>
          <w:lang w:val="fr-FR"/>
        </w:rPr>
      </w:pPr>
      <w:r w:rsidRPr="00A56668">
        <w:rPr>
          <w:sz w:val="21"/>
          <w:szCs w:val="21"/>
          <w:lang w:val="fr-FR"/>
        </w:rPr>
        <w:lastRenderedPageBreak/>
        <w:t>•  Expérience dans des contextes comparables en Afrique et/ou au Moyen-Orient, notamment dans le cadre de programmes d'incubation appuyés par la BID.</w:t>
      </w:r>
    </w:p>
    <w:p w14:paraId="13516EA3" w14:textId="06965592" w:rsidR="007E38DB" w:rsidRPr="00A56668" w:rsidRDefault="00D77C03">
      <w:pPr>
        <w:spacing w:after="100" w:line="280" w:lineRule="auto"/>
        <w:ind w:left="420"/>
        <w:rPr>
          <w:lang w:val="fr-FR"/>
        </w:rPr>
      </w:pPr>
      <w:r w:rsidRPr="00A56668">
        <w:rPr>
          <w:sz w:val="21"/>
          <w:szCs w:val="21"/>
          <w:lang w:val="fr-FR"/>
        </w:rPr>
        <w:t>•  Connaissance ou expérience d'utilisation de plateformes digitales de gestion d'incubateur.</w:t>
      </w:r>
    </w:p>
    <w:p w14:paraId="5749C1CC" w14:textId="77777777" w:rsidR="007E38DB" w:rsidRPr="00A56668" w:rsidRDefault="00D77C03">
      <w:pPr>
        <w:spacing w:after="160" w:line="300" w:lineRule="auto"/>
        <w:rPr>
          <w:lang w:val="fr-FR"/>
        </w:rPr>
      </w:pPr>
      <w:r w:rsidRPr="00A56668">
        <w:rPr>
          <w:sz w:val="21"/>
          <w:szCs w:val="21"/>
          <w:lang w:val="fr-FR"/>
        </w:rPr>
        <w:t>Les qualifications et l'expérience des Personnels-clés ne doivent pas faire partie des critères d'établissement de la liste restreinte ; elles ne feront pas l'objet d'évaluation au stade de la manifestation d'intérêt.</w:t>
      </w:r>
    </w:p>
    <w:p w14:paraId="439C91CA" w14:textId="77777777" w:rsidR="007E38DB" w:rsidRPr="00A56668" w:rsidRDefault="00D77C03">
      <w:pPr>
        <w:spacing w:after="160" w:line="300" w:lineRule="auto"/>
        <w:rPr>
          <w:lang w:val="fr-FR"/>
        </w:rPr>
      </w:pPr>
      <w:r w:rsidRPr="00A56668">
        <w:rPr>
          <w:sz w:val="21"/>
          <w:szCs w:val="21"/>
          <w:lang w:val="fr-FR"/>
        </w:rPr>
        <w:t>Les Consultants intéressés sont invités à prendre connaissance des paragraphes 1.12.1 et 1.12.2 des « Politiques des Acquisitions — Directives pour l'Acquisition de Services de Consultants dans le cadre du Financement de Projets par la Banque Islamique de Développement » (les « Directives »), définissant les règles de la BID concernant les conflits d'intérêt.</w:t>
      </w:r>
    </w:p>
    <w:p w14:paraId="6891D4B0" w14:textId="77777777" w:rsidR="007E38DB" w:rsidRPr="00A56668" w:rsidRDefault="00D77C03">
      <w:pPr>
        <w:spacing w:after="160" w:line="300" w:lineRule="auto"/>
        <w:rPr>
          <w:lang w:val="fr-FR"/>
        </w:rPr>
      </w:pPr>
      <w:r w:rsidRPr="00A56668">
        <w:rPr>
          <w:sz w:val="21"/>
          <w:szCs w:val="21"/>
          <w:lang w:val="fr-FR"/>
        </w:rPr>
        <w:t>Les Consultants peuvent s'associer avec d'autres firmes afin de renforcer leurs qualifications, en indiquant clairement le type d'association (groupement de consultants, ou intention de sous-traitance). Dans le cas d'un groupement, tous les partenaires seront conjointement et solidairement responsables de la totalité du contrat en cas d'attribution.</w:t>
      </w:r>
    </w:p>
    <w:p w14:paraId="3D9949C4" w14:textId="77777777" w:rsidR="007E38DB" w:rsidRPr="00A56668" w:rsidRDefault="00D77C03">
      <w:pPr>
        <w:spacing w:after="160" w:line="300" w:lineRule="auto"/>
        <w:rPr>
          <w:lang w:val="fr-FR"/>
        </w:rPr>
      </w:pPr>
      <w:r w:rsidRPr="00A56668">
        <w:rPr>
          <w:sz w:val="21"/>
          <w:szCs w:val="21"/>
          <w:lang w:val="fr-FR"/>
        </w:rPr>
        <w:t>La sélection se fera en conformité avec la méthode Sélection fondée sur les Qualifications des Consultants (SQC) stipulée dans les Directives. Ce contrat est soumis à la revue préalable (a priori) de la BID.</w:t>
      </w:r>
    </w:p>
    <w:p w14:paraId="3CAFB846" w14:textId="5D72670E" w:rsidR="007E38DB" w:rsidRPr="00A56668" w:rsidRDefault="00D77C03">
      <w:pPr>
        <w:spacing w:after="160" w:line="300" w:lineRule="auto"/>
        <w:rPr>
          <w:lang w:val="fr-FR"/>
        </w:rPr>
      </w:pPr>
      <w:r w:rsidRPr="00A56668">
        <w:rPr>
          <w:sz w:val="21"/>
          <w:szCs w:val="21"/>
          <w:lang w:val="fr-FR"/>
        </w:rPr>
        <w:t>Les Consultants intéressés peuvent obtenir des informations additionnelles à l'adresse mentionnée ci-dessous, aux heures d'ouverture de bureau suivantes : du dimanche au jeudi, de 8h00 à 16h</w:t>
      </w:r>
      <w:r w:rsidR="00C250F7" w:rsidRPr="00A56668">
        <w:rPr>
          <w:sz w:val="21"/>
          <w:szCs w:val="21"/>
          <w:lang w:val="fr-FR"/>
        </w:rPr>
        <w:t>00, ou</w:t>
      </w:r>
      <w:r w:rsidRPr="00A56668">
        <w:rPr>
          <w:sz w:val="21"/>
          <w:szCs w:val="21"/>
          <w:lang w:val="fr-FR"/>
        </w:rPr>
        <w:t xml:space="preserve"> par courriel.</w:t>
      </w:r>
    </w:p>
    <w:p w14:paraId="3C3D27A0" w14:textId="37BF52E6" w:rsidR="007E38DB" w:rsidRPr="00A56668" w:rsidRDefault="00D77C03">
      <w:pPr>
        <w:spacing w:after="160" w:line="300" w:lineRule="auto"/>
        <w:rPr>
          <w:lang w:val="fr-FR"/>
        </w:rPr>
      </w:pPr>
      <w:r w:rsidRPr="00A56668">
        <w:rPr>
          <w:sz w:val="21"/>
          <w:szCs w:val="21"/>
          <w:lang w:val="fr-FR"/>
        </w:rPr>
        <w:t>Les manifestations d'intérêt sous forme écrite doivent être déposées (en personne ou par courrier, ou par courriel) à l'adresse mentionnée ci-dessous au plus tard le</w:t>
      </w:r>
      <w:r w:rsidR="00A56668">
        <w:rPr>
          <w:sz w:val="21"/>
          <w:szCs w:val="21"/>
          <w:lang w:val="fr-FR"/>
        </w:rPr>
        <w:t xml:space="preserve"> 7 octobre </w:t>
      </w:r>
      <w:r w:rsidR="00C250F7">
        <w:rPr>
          <w:sz w:val="21"/>
          <w:szCs w:val="21"/>
          <w:lang w:val="fr-FR"/>
        </w:rPr>
        <w:t>2026</w:t>
      </w:r>
      <w:r>
        <w:rPr>
          <w:sz w:val="21"/>
          <w:szCs w:val="21"/>
          <w:lang w:val="fr-FR"/>
        </w:rPr>
        <w:t xml:space="preserve"> </w:t>
      </w:r>
      <w:r w:rsidR="00E379C3">
        <w:rPr>
          <w:sz w:val="21"/>
          <w:szCs w:val="21"/>
          <w:lang w:val="fr-FR"/>
        </w:rPr>
        <w:t>(</w:t>
      </w:r>
      <w:r w:rsidR="00C250F7">
        <w:rPr>
          <w:sz w:val="21"/>
          <w:szCs w:val="21"/>
          <w:lang w:val="fr-FR"/>
        </w:rPr>
        <w:t xml:space="preserve">soit </w:t>
      </w:r>
      <w:r w:rsidR="00E379C3">
        <w:rPr>
          <w:sz w:val="21"/>
          <w:szCs w:val="21"/>
          <w:lang w:val="fr-FR"/>
        </w:rPr>
        <w:t>14 jours après la publication)</w:t>
      </w:r>
      <w:r>
        <w:rPr>
          <w:sz w:val="21"/>
          <w:szCs w:val="21"/>
          <w:lang w:val="fr-FR"/>
        </w:rPr>
        <w:t xml:space="preserve"> à 12H </w:t>
      </w:r>
      <w:r w:rsidR="00C250F7">
        <w:rPr>
          <w:sz w:val="21"/>
          <w:szCs w:val="21"/>
          <w:lang w:val="fr-FR"/>
        </w:rPr>
        <w:t>TU</w:t>
      </w:r>
      <w:r w:rsidR="00C250F7" w:rsidRPr="00A56668">
        <w:rPr>
          <w:sz w:val="21"/>
          <w:szCs w:val="21"/>
          <w:lang w:val="fr-FR"/>
        </w:rPr>
        <w:t>.</w:t>
      </w:r>
    </w:p>
    <w:p w14:paraId="112608EF" w14:textId="77777777" w:rsidR="007E38DB" w:rsidRPr="00A56668" w:rsidRDefault="00D77C03">
      <w:pPr>
        <w:spacing w:after="80"/>
        <w:rPr>
          <w:lang w:val="fr-FR"/>
        </w:rPr>
      </w:pPr>
      <w:r w:rsidRPr="00A56668">
        <w:rPr>
          <w:b/>
          <w:bCs/>
          <w:sz w:val="21"/>
          <w:szCs w:val="21"/>
          <w:lang w:val="fr-FR"/>
        </w:rPr>
        <w:t>BINA Mauritanie pour le Développement Durable</w:t>
      </w:r>
    </w:p>
    <w:p w14:paraId="7B316A33" w14:textId="2DA11A3D" w:rsidR="007E38DB" w:rsidRPr="00A56668" w:rsidRDefault="00D77C03">
      <w:pPr>
        <w:spacing w:after="40"/>
        <w:rPr>
          <w:lang w:val="fr-FR"/>
        </w:rPr>
      </w:pPr>
      <w:r w:rsidRPr="00A56668">
        <w:rPr>
          <w:sz w:val="21"/>
          <w:szCs w:val="21"/>
          <w:lang w:val="fr-FR"/>
        </w:rPr>
        <w:t>À l'attention de : Mohamed Ali Veten — Président</w:t>
      </w:r>
    </w:p>
    <w:p w14:paraId="31C41B44" w14:textId="77777777" w:rsidR="007E38DB" w:rsidRPr="00A56668" w:rsidRDefault="00D77C03">
      <w:pPr>
        <w:spacing w:after="40"/>
        <w:rPr>
          <w:lang w:val="fr-FR"/>
        </w:rPr>
      </w:pPr>
      <w:r w:rsidRPr="00A56668">
        <w:rPr>
          <w:sz w:val="21"/>
          <w:szCs w:val="21"/>
          <w:lang w:val="fr-FR"/>
        </w:rPr>
        <w:t>Adresse : Centre KEVAAT, Cité Nasr N°80, Nouakchott</w:t>
      </w:r>
    </w:p>
    <w:p w14:paraId="4B56D98B" w14:textId="77777777" w:rsidR="007E38DB" w:rsidRPr="00A56668" w:rsidRDefault="00D77C03">
      <w:pPr>
        <w:spacing w:after="40"/>
        <w:rPr>
          <w:lang w:val="fr-FR"/>
        </w:rPr>
      </w:pPr>
      <w:r w:rsidRPr="00A56668">
        <w:rPr>
          <w:sz w:val="21"/>
          <w:szCs w:val="21"/>
          <w:lang w:val="fr-FR"/>
        </w:rPr>
        <w:t>République Islamique de Mauritanie</w:t>
      </w:r>
    </w:p>
    <w:p w14:paraId="5DE47B2B" w14:textId="075690ED" w:rsidR="007E38DB" w:rsidRPr="004A506A" w:rsidRDefault="00D77C03">
      <w:pPr>
        <w:spacing w:after="40"/>
        <w:rPr>
          <w:lang w:val="fr-FR"/>
        </w:rPr>
      </w:pPr>
      <w:r w:rsidRPr="00A56668">
        <w:rPr>
          <w:sz w:val="21"/>
          <w:szCs w:val="21"/>
          <w:lang w:val="fr-FR"/>
        </w:rPr>
        <w:t>Tél. : 26362820 — 36630330</w:t>
      </w:r>
      <w:r w:rsidR="004A506A">
        <w:rPr>
          <w:sz w:val="21"/>
          <w:szCs w:val="21"/>
          <w:lang w:val="fr-FR"/>
        </w:rPr>
        <w:t xml:space="preserve"> --- 33328227</w:t>
      </w:r>
    </w:p>
    <w:p w14:paraId="2155FA03" w14:textId="33980030" w:rsidR="007E38DB" w:rsidRDefault="00D77C03">
      <w:pPr>
        <w:spacing w:after="40"/>
      </w:pPr>
      <w:proofErr w:type="gramStart"/>
      <w:r>
        <w:rPr>
          <w:sz w:val="21"/>
          <w:szCs w:val="21"/>
        </w:rPr>
        <w:t>Courriel :</w:t>
      </w:r>
      <w:proofErr w:type="gramEnd"/>
      <w:r>
        <w:rPr>
          <w:sz w:val="21"/>
          <w:szCs w:val="21"/>
        </w:rPr>
        <w:t xml:space="preserve"> </w:t>
      </w:r>
      <w:hyperlink r:id="rId7" w:history="1">
        <w:r w:rsidR="00664965" w:rsidRPr="00EB27A5">
          <w:rPr>
            <w:rStyle w:val="Hyperlink"/>
            <w:sz w:val="21"/>
            <w:szCs w:val="21"/>
          </w:rPr>
          <w:t>mauritania@binabi.org</w:t>
        </w:r>
      </w:hyperlink>
      <w:r w:rsidR="00664965">
        <w:rPr>
          <w:sz w:val="21"/>
          <w:szCs w:val="21"/>
        </w:rPr>
        <w:t xml:space="preserve"> </w:t>
      </w:r>
      <w:r>
        <w:rPr>
          <w:sz w:val="21"/>
          <w:szCs w:val="21"/>
        </w:rPr>
        <w:t xml:space="preserve"> </w:t>
      </w:r>
    </w:p>
    <w:p w14:paraId="7A651350" w14:textId="35D4E1B5" w:rsidR="007E38DB" w:rsidRDefault="007E38DB">
      <w:pPr>
        <w:spacing w:after="40"/>
      </w:pPr>
    </w:p>
    <w:sectPr w:rsidR="007E38DB">
      <w:headerReference w:type="even" r:id="rId8"/>
      <w:headerReference w:type="default" r:id="rId9"/>
      <w:headerReference w:type="firs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6A165" w14:textId="77777777" w:rsidR="005E4BAD" w:rsidRDefault="005E4BAD" w:rsidP="004F349D">
      <w:r>
        <w:separator/>
      </w:r>
    </w:p>
  </w:endnote>
  <w:endnote w:type="continuationSeparator" w:id="0">
    <w:p w14:paraId="53774F81" w14:textId="77777777" w:rsidR="005E4BAD" w:rsidRDefault="005E4BAD" w:rsidP="004F3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295A3" w14:textId="77777777" w:rsidR="005E4BAD" w:rsidRDefault="005E4BAD" w:rsidP="004F349D">
      <w:r>
        <w:separator/>
      </w:r>
    </w:p>
  </w:footnote>
  <w:footnote w:type="continuationSeparator" w:id="0">
    <w:p w14:paraId="0AD1F335" w14:textId="77777777" w:rsidR="005E4BAD" w:rsidRDefault="005E4BAD" w:rsidP="004F3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838E" w14:textId="67F35CD2" w:rsidR="004F349D" w:rsidRDefault="004F349D">
    <w:pPr>
      <w:pStyle w:val="Header"/>
    </w:pPr>
    <w:r>
      <w:rPr>
        <w:noProof/>
      </w:rPr>
      <mc:AlternateContent>
        <mc:Choice Requires="wps">
          <w:drawing>
            <wp:anchor distT="0" distB="0" distL="0" distR="0" simplePos="0" relativeHeight="251659264" behindDoc="0" locked="0" layoutInCell="1" allowOverlap="1" wp14:anchorId="7E3CD859" wp14:editId="29E7B630">
              <wp:simplePos x="635" y="635"/>
              <wp:positionH relativeFrom="page">
                <wp:align>left</wp:align>
              </wp:positionH>
              <wp:positionV relativeFrom="page">
                <wp:align>top</wp:align>
              </wp:positionV>
              <wp:extent cx="793750" cy="345440"/>
              <wp:effectExtent l="0" t="0" r="6350" b="16510"/>
              <wp:wrapNone/>
              <wp:docPr id="662785754" name="Text Box 2"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45440"/>
                      </a:xfrm>
                      <a:prstGeom prst="rect">
                        <a:avLst/>
                      </a:prstGeom>
                      <a:noFill/>
                      <a:ln>
                        <a:noFill/>
                      </a:ln>
                    </wps:spPr>
                    <wps:txbx>
                      <w:txbxContent>
                        <w:p w14:paraId="056F614B" w14:textId="1CF421A9" w:rsidR="004F349D" w:rsidRPr="004F349D" w:rsidRDefault="004F349D" w:rsidP="004F349D">
                          <w:pPr>
                            <w:rPr>
                              <w:rFonts w:ascii="Aptos" w:eastAsia="Aptos" w:hAnsi="Aptos" w:cs="Aptos"/>
                              <w:noProof/>
                              <w:color w:val="000000"/>
                            </w:rPr>
                          </w:pPr>
                          <w:r w:rsidRPr="004F349D">
                            <w:rPr>
                              <w:rFonts w:ascii="Aptos" w:eastAsia="Aptos" w:hAnsi="Aptos" w:cs="Aptos"/>
                              <w:noProof/>
                              <w:color w:val="00000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3CD859" id="_x0000_t202" coordsize="21600,21600" o:spt="202" path="m,l,21600r21600,l21600,xe">
              <v:stroke joinstyle="miter"/>
              <v:path gradientshapeok="t" o:connecttype="rect"/>
            </v:shapetype>
            <v:shape id="Text Box 2" o:spid="_x0000_s1026" type="#_x0000_t202" alt="Protected" style="position:absolute;margin-left:0;margin-top:0;width:62.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" filled="f" stroked="f">
              <v:fill o:detectmouseclick="t"/>
              <v:textbox style="mso-fit-shape-to-text:t" inset="20pt,15pt,0,0">
                <w:txbxContent>
                  <w:p w14:paraId="056F614B" w14:textId="1CF421A9" w:rsidR="004F349D" w:rsidRPr="004F349D" w:rsidRDefault="004F349D" w:rsidP="004F349D">
                    <w:pPr>
                      <w:rPr>
                        <w:rFonts w:ascii="Aptos" w:eastAsia="Aptos" w:hAnsi="Aptos" w:cs="Aptos"/>
                        <w:noProof/>
                        <w:color w:val="000000"/>
                      </w:rPr>
                    </w:pPr>
                    <w:r w:rsidRPr="004F349D">
                      <w:rPr>
                        <w:rFonts w:ascii="Aptos" w:eastAsia="Aptos" w:hAnsi="Aptos" w:cs="Aptos"/>
                        <w:noProof/>
                        <w:color w:val="000000"/>
                      </w:rPr>
                      <w:t>Protected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5355F" w14:textId="2AACC43B" w:rsidR="004F349D" w:rsidRDefault="004F349D">
    <w:pPr>
      <w:pStyle w:val="Header"/>
    </w:pPr>
    <w:r>
      <w:rPr>
        <w:noProof/>
      </w:rPr>
      <mc:AlternateContent>
        <mc:Choice Requires="wps">
          <w:drawing>
            <wp:anchor distT="0" distB="0" distL="0" distR="0" simplePos="0" relativeHeight="251660288" behindDoc="0" locked="0" layoutInCell="1" allowOverlap="1" wp14:anchorId="40F0D251" wp14:editId="052A39E3">
              <wp:simplePos x="635" y="675005"/>
              <wp:positionH relativeFrom="page">
                <wp:align>left</wp:align>
              </wp:positionH>
              <wp:positionV relativeFrom="page">
                <wp:align>top</wp:align>
              </wp:positionV>
              <wp:extent cx="793750" cy="345440"/>
              <wp:effectExtent l="0" t="0" r="6350" b="16510"/>
              <wp:wrapNone/>
              <wp:docPr id="2026589372" name="Text Box 3"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45440"/>
                      </a:xfrm>
                      <a:prstGeom prst="rect">
                        <a:avLst/>
                      </a:prstGeom>
                      <a:noFill/>
                      <a:ln>
                        <a:noFill/>
                      </a:ln>
                    </wps:spPr>
                    <wps:txbx>
                      <w:txbxContent>
                        <w:p w14:paraId="4C4722AB" w14:textId="6009CE7D" w:rsidR="004F349D" w:rsidRPr="004F349D" w:rsidRDefault="004F349D" w:rsidP="004F349D">
                          <w:pPr>
                            <w:rPr>
                              <w:rFonts w:ascii="Aptos" w:eastAsia="Aptos" w:hAnsi="Aptos" w:cs="Aptos"/>
                              <w:noProof/>
                              <w:color w:val="000000"/>
                            </w:rPr>
                          </w:pPr>
                          <w:r w:rsidRPr="004F349D">
                            <w:rPr>
                              <w:rFonts w:ascii="Aptos" w:eastAsia="Aptos" w:hAnsi="Aptos" w:cs="Aptos"/>
                              <w:noProof/>
                              <w:color w:val="00000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0F0D251" id="_x0000_t202" coordsize="21600,21600" o:spt="202" path="m,l,21600r21600,l21600,xe">
              <v:stroke joinstyle="miter"/>
              <v:path gradientshapeok="t" o:connecttype="rect"/>
            </v:shapetype>
            <v:shape id="Text Box 3" o:spid="_x0000_s1027" type="#_x0000_t202" alt="Protected" style="position:absolute;margin-left:0;margin-top:0;width:62.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" filled="f" stroked="f">
              <v:fill o:detectmouseclick="t"/>
              <v:textbox style="mso-fit-shape-to-text:t" inset="20pt,15pt,0,0">
                <w:txbxContent>
                  <w:p w14:paraId="4C4722AB" w14:textId="6009CE7D" w:rsidR="004F349D" w:rsidRPr="004F349D" w:rsidRDefault="004F349D" w:rsidP="004F349D">
                    <w:pPr>
                      <w:rPr>
                        <w:rFonts w:ascii="Aptos" w:eastAsia="Aptos" w:hAnsi="Aptos" w:cs="Aptos"/>
                        <w:noProof/>
                        <w:color w:val="000000"/>
                      </w:rPr>
                    </w:pPr>
                    <w:r w:rsidRPr="004F349D">
                      <w:rPr>
                        <w:rFonts w:ascii="Aptos" w:eastAsia="Aptos" w:hAnsi="Aptos" w:cs="Aptos"/>
                        <w:noProof/>
                        <w:color w:val="000000"/>
                      </w:rPr>
                      <w:t>Protected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4BB03" w14:textId="0E5941F5" w:rsidR="004F349D" w:rsidRDefault="004F349D">
    <w:pPr>
      <w:pStyle w:val="Header"/>
    </w:pPr>
    <w:r>
      <w:rPr>
        <w:noProof/>
      </w:rPr>
      <mc:AlternateContent>
        <mc:Choice Requires="wps">
          <w:drawing>
            <wp:anchor distT="0" distB="0" distL="0" distR="0" simplePos="0" relativeHeight="251658240" behindDoc="0" locked="0" layoutInCell="1" allowOverlap="1" wp14:anchorId="114413C5" wp14:editId="51396F9F">
              <wp:simplePos x="635" y="635"/>
              <wp:positionH relativeFrom="page">
                <wp:align>left</wp:align>
              </wp:positionH>
              <wp:positionV relativeFrom="page">
                <wp:align>top</wp:align>
              </wp:positionV>
              <wp:extent cx="793750" cy="345440"/>
              <wp:effectExtent l="0" t="0" r="6350" b="16510"/>
              <wp:wrapNone/>
              <wp:docPr id="1814296379" name="Text Box 1"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45440"/>
                      </a:xfrm>
                      <a:prstGeom prst="rect">
                        <a:avLst/>
                      </a:prstGeom>
                      <a:noFill/>
                      <a:ln>
                        <a:noFill/>
                      </a:ln>
                    </wps:spPr>
                    <wps:txbx>
                      <w:txbxContent>
                        <w:p w14:paraId="5D9DDA54" w14:textId="0BCDBF81" w:rsidR="004F349D" w:rsidRPr="004F349D" w:rsidRDefault="004F349D" w:rsidP="004F349D">
                          <w:pPr>
                            <w:rPr>
                              <w:rFonts w:ascii="Aptos" w:eastAsia="Aptos" w:hAnsi="Aptos" w:cs="Aptos"/>
                              <w:noProof/>
                              <w:color w:val="000000"/>
                            </w:rPr>
                          </w:pPr>
                          <w:r w:rsidRPr="004F349D">
                            <w:rPr>
                              <w:rFonts w:ascii="Aptos" w:eastAsia="Aptos" w:hAnsi="Aptos" w:cs="Aptos"/>
                              <w:noProof/>
                              <w:color w:val="00000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14413C5" id="_x0000_t202" coordsize="21600,21600" o:spt="202" path="m,l,21600r21600,l21600,xe">
              <v:stroke joinstyle="miter"/>
              <v:path gradientshapeok="t" o:connecttype="rect"/>
            </v:shapetype>
            <v:shape id="Text Box 1" o:spid="_x0000_s1028" type="#_x0000_t202" alt="Protected" style="position:absolute;margin-left:0;margin-top:0;width:62.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" filled="f" stroked="f">
              <v:fill o:detectmouseclick="t"/>
              <v:textbox style="mso-fit-shape-to-text:t" inset="20pt,15pt,0,0">
                <w:txbxContent>
                  <w:p w14:paraId="5D9DDA54" w14:textId="0BCDBF81" w:rsidR="004F349D" w:rsidRPr="004F349D" w:rsidRDefault="004F349D" w:rsidP="004F349D">
                    <w:pPr>
                      <w:rPr>
                        <w:rFonts w:ascii="Aptos" w:eastAsia="Aptos" w:hAnsi="Aptos" w:cs="Aptos"/>
                        <w:noProof/>
                        <w:color w:val="000000"/>
                      </w:rPr>
                    </w:pPr>
                    <w:r w:rsidRPr="004F349D">
                      <w:rPr>
                        <w:rFonts w:ascii="Aptos" w:eastAsia="Aptos" w:hAnsi="Aptos" w:cs="Aptos"/>
                        <w:noProof/>
                        <w:color w:val="000000"/>
                      </w:rPr>
                      <w:t>Protected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26364F"/>
    <w:multiLevelType w:val="hybridMultilevel"/>
    <w:tmpl w:val="414AFF28"/>
    <w:lvl w:ilvl="0" w:tplc="2AA08920">
      <w:start w:val="1"/>
      <w:numFmt w:val="bullet"/>
      <w:lvlText w:val="●"/>
      <w:lvlJc w:val="left"/>
      <w:pPr>
        <w:ind w:left="720" w:hanging="360"/>
      </w:pPr>
    </w:lvl>
    <w:lvl w:ilvl="1" w:tplc="37E242FC">
      <w:start w:val="1"/>
      <w:numFmt w:val="bullet"/>
      <w:lvlText w:val="○"/>
      <w:lvlJc w:val="left"/>
      <w:pPr>
        <w:ind w:left="1440" w:hanging="360"/>
      </w:pPr>
    </w:lvl>
    <w:lvl w:ilvl="2" w:tplc="54105D0E">
      <w:start w:val="1"/>
      <w:numFmt w:val="bullet"/>
      <w:lvlText w:val="■"/>
      <w:lvlJc w:val="left"/>
      <w:pPr>
        <w:ind w:left="2160" w:hanging="360"/>
      </w:pPr>
    </w:lvl>
    <w:lvl w:ilvl="3" w:tplc="468A99A2">
      <w:start w:val="1"/>
      <w:numFmt w:val="bullet"/>
      <w:lvlText w:val="●"/>
      <w:lvlJc w:val="left"/>
      <w:pPr>
        <w:ind w:left="2880" w:hanging="360"/>
      </w:pPr>
    </w:lvl>
    <w:lvl w:ilvl="4" w:tplc="75CA5C0C">
      <w:start w:val="1"/>
      <w:numFmt w:val="bullet"/>
      <w:lvlText w:val="○"/>
      <w:lvlJc w:val="left"/>
      <w:pPr>
        <w:ind w:left="3600" w:hanging="360"/>
      </w:pPr>
    </w:lvl>
    <w:lvl w:ilvl="5" w:tplc="D58E4B8A">
      <w:start w:val="1"/>
      <w:numFmt w:val="bullet"/>
      <w:lvlText w:val="■"/>
      <w:lvlJc w:val="left"/>
      <w:pPr>
        <w:ind w:left="4320" w:hanging="360"/>
      </w:pPr>
    </w:lvl>
    <w:lvl w:ilvl="6" w:tplc="742ADEE0">
      <w:start w:val="1"/>
      <w:numFmt w:val="bullet"/>
      <w:lvlText w:val="●"/>
      <w:lvlJc w:val="left"/>
      <w:pPr>
        <w:ind w:left="5040" w:hanging="360"/>
      </w:pPr>
    </w:lvl>
    <w:lvl w:ilvl="7" w:tplc="DF463524">
      <w:start w:val="1"/>
      <w:numFmt w:val="bullet"/>
      <w:lvlText w:val="●"/>
      <w:lvlJc w:val="left"/>
      <w:pPr>
        <w:ind w:left="5760" w:hanging="360"/>
      </w:pPr>
    </w:lvl>
    <w:lvl w:ilvl="8" w:tplc="FC2E1338">
      <w:start w:val="1"/>
      <w:numFmt w:val="bullet"/>
      <w:lvlText w:val="●"/>
      <w:lvlJc w:val="left"/>
      <w:pPr>
        <w:ind w:left="6480" w:hanging="360"/>
      </w:pPr>
    </w:lvl>
  </w:abstractNum>
  <w:num w:numId="1" w16cid:durableId="20514211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8DB"/>
    <w:rsid w:val="00296C44"/>
    <w:rsid w:val="004A506A"/>
    <w:rsid w:val="004F349D"/>
    <w:rsid w:val="005E1E41"/>
    <w:rsid w:val="005E4BAD"/>
    <w:rsid w:val="00664965"/>
    <w:rsid w:val="006D4835"/>
    <w:rsid w:val="007E38DB"/>
    <w:rsid w:val="007F3DD8"/>
    <w:rsid w:val="0082294F"/>
    <w:rsid w:val="00A56668"/>
    <w:rsid w:val="00C250F7"/>
    <w:rsid w:val="00D77C03"/>
    <w:rsid w:val="00DE0A50"/>
    <w:rsid w:val="00E379C3"/>
    <w:rsid w:val="00FA33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854B3"/>
  <w15:docId w15:val="{7C855785-0957-2049-B829-08D24FA66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lev1">
    <w:name w:val="Élevé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F349D"/>
    <w:pPr>
      <w:tabs>
        <w:tab w:val="center" w:pos="4680"/>
        <w:tab w:val="right" w:pos="9360"/>
      </w:tabs>
    </w:pPr>
  </w:style>
  <w:style w:type="character" w:customStyle="1" w:styleId="HeaderChar">
    <w:name w:val="Header Char"/>
    <w:basedOn w:val="DefaultParagraphFont"/>
    <w:link w:val="Header"/>
    <w:uiPriority w:val="99"/>
    <w:rsid w:val="004F349D"/>
  </w:style>
  <w:style w:type="character" w:styleId="UnresolvedMention">
    <w:name w:val="Unresolved Mention"/>
    <w:basedOn w:val="DefaultParagraphFont"/>
    <w:uiPriority w:val="99"/>
    <w:semiHidden/>
    <w:unhideWhenUsed/>
    <w:rsid w:val="006649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uritania@binabi.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762</Words>
  <Characters>4675</Characters>
  <Application>Microsoft Office Word</Application>
  <DocSecurity>0</DocSecurity>
  <Lines>66</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Racine Ly</cp:lastModifiedBy>
  <cp:revision>9</cp:revision>
  <dcterms:created xsi:type="dcterms:W3CDTF">2026-07-21T19:41:00Z</dcterms:created>
  <dcterms:modified xsi:type="dcterms:W3CDTF">2026-09-21T07:25:00Z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6c23f73b,27814eda,78cb4cbc</vt:lpwstr>
  </property>
  <property fmtid="{D5CDD505-2E9C-101B-9397-08002B2CF9AE}" pid="3" name="ClassificationContentMarkingHeaderFontProps">
    <vt:lpwstr>#000000,10,Aptos</vt:lpwstr>
  </property>
  <property fmtid="{D5CDD505-2E9C-101B-9397-08002B2CF9AE}" pid="4" name="ClassificationContentMarkingHeaderText">
    <vt:lpwstr>Protected</vt:lpwstr>
  </property>
  <property fmtid="{D5CDD505-2E9C-101B-9397-08002B2CF9AE}" pid="5" name="MSIP_Label_9ef4adf7-25a7-4f52-a61a-df7190f1d881_Enabled">
    <vt:lpwstr>true</vt:lpwstr>
  </property>
  <property fmtid="{D5CDD505-2E9C-101B-9397-08002B2CF9AE}" pid="6" name="MSIP_Label_9ef4adf7-25a7-4f52-a61a-df7190f1d881_SetDate">
    <vt:lpwstr>2026-09-07T10:59:59Z</vt:lpwstr>
  </property>
  <property fmtid="{D5CDD505-2E9C-101B-9397-08002B2CF9AE}" pid="7" name="MSIP_Label_9ef4adf7-25a7-4f52-a61a-df7190f1d881_Method">
    <vt:lpwstr>Standard</vt:lpwstr>
  </property>
  <property fmtid="{D5CDD505-2E9C-101B-9397-08002B2CF9AE}" pid="8" name="MSIP_Label_9ef4adf7-25a7-4f52-a61a-df7190f1d881_Name">
    <vt:lpwstr>Category C - Protected</vt:lpwstr>
  </property>
  <property fmtid="{D5CDD505-2E9C-101B-9397-08002B2CF9AE}" pid="9" name="MSIP_Label_9ef4adf7-25a7-4f52-a61a-df7190f1d881_SiteId">
    <vt:lpwstr>8fa69c26-409d-43e5-973c-17a8be1a7f35</vt:lpwstr>
  </property>
  <property fmtid="{D5CDD505-2E9C-101B-9397-08002B2CF9AE}" pid="10" name="MSIP_Label_9ef4adf7-25a7-4f52-a61a-df7190f1d881_ActionId">
    <vt:lpwstr>e99eda63-d720-4742-927a-562a9b6cfea8</vt:lpwstr>
  </property>
  <property fmtid="{D5CDD505-2E9C-101B-9397-08002B2CF9AE}" pid="11" name="MSIP_Label_9ef4adf7-25a7-4f52-a61a-df7190f1d881_ContentBits">
    <vt:lpwstr>1</vt:lpwstr>
  </property>
  <property fmtid="{D5CDD505-2E9C-101B-9397-08002B2CF9AE}" pid="12" name="MSIP_Label_9ef4adf7-25a7-4f52-a61a-df7190f1d881_Tag">
    <vt:lpwstr>10, 3, 0, 1</vt:lpwstr>
  </property>
</Properties>
</file>