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CC28B" w14:textId="0DBC01CE" w:rsidR="008453BC" w:rsidRPr="00721AD2" w:rsidRDefault="008453BC" w:rsidP="008453BC">
      <w:pPr>
        <w:pStyle w:val="Heading1a"/>
        <w:keepNext w:val="0"/>
        <w:keepLines w:val="0"/>
        <w:tabs>
          <w:tab w:val="clear" w:pos="-720"/>
        </w:tabs>
        <w:suppressAutoHyphens w:val="0"/>
        <w:rPr>
          <w:rFonts w:asciiTheme="majorBidi" w:hAnsiTheme="majorBidi" w:cstheme="majorBidi"/>
          <w:bCs/>
          <w:smallCaps w:val="0"/>
        </w:rPr>
      </w:pPr>
      <w:r w:rsidRPr="00721AD2">
        <w:rPr>
          <w:rFonts w:asciiTheme="majorBidi" w:hAnsiTheme="majorBidi" w:cstheme="majorBidi"/>
          <w:bCs/>
          <w:smallCaps w:val="0"/>
        </w:rPr>
        <w:t>GENERAL PROCUREMENT NOTICE</w:t>
      </w:r>
    </w:p>
    <w:p w14:paraId="6A1B1888" w14:textId="77777777" w:rsidR="008453BC" w:rsidRPr="00721AD2" w:rsidRDefault="008453BC" w:rsidP="008453BC">
      <w:pPr>
        <w:suppressAutoHyphens/>
        <w:rPr>
          <w:rFonts w:asciiTheme="majorBidi" w:hAnsiTheme="majorBidi" w:cstheme="majorBidi"/>
          <w:b/>
          <w:bCs/>
          <w:spacing w:val="-2"/>
          <w:sz w:val="24"/>
          <w:szCs w:val="24"/>
        </w:rPr>
      </w:pPr>
    </w:p>
    <w:p w14:paraId="7EF051AC" w14:textId="43F005CB" w:rsidR="008453BC" w:rsidRPr="00721AD2" w:rsidRDefault="008453BC" w:rsidP="008453BC">
      <w:pPr>
        <w:suppressAutoHyphens/>
        <w:rPr>
          <w:rFonts w:asciiTheme="majorBidi" w:hAnsiTheme="majorBidi" w:cstheme="majorBidi"/>
          <w:spacing w:val="-2"/>
          <w:sz w:val="24"/>
          <w:szCs w:val="24"/>
        </w:rPr>
      </w:pPr>
      <w:r w:rsidRPr="00721AD2">
        <w:rPr>
          <w:rFonts w:asciiTheme="majorBidi" w:hAnsiTheme="majorBidi" w:cstheme="majorBidi"/>
          <w:b/>
          <w:bCs/>
          <w:spacing w:val="-2"/>
          <w:sz w:val="24"/>
          <w:szCs w:val="24"/>
        </w:rPr>
        <w:t>Entity:</w:t>
      </w:r>
      <w:r w:rsidRPr="00721AD2">
        <w:rPr>
          <w:rFonts w:asciiTheme="majorBidi" w:hAnsiTheme="majorBidi" w:cstheme="majorBidi"/>
          <w:spacing w:val="-2"/>
          <w:sz w:val="24"/>
          <w:szCs w:val="24"/>
        </w:rPr>
        <w:t xml:space="preserve"> The Islamic Development Bank Institute</w:t>
      </w:r>
    </w:p>
    <w:p w14:paraId="647A39D4" w14:textId="2E1F9173" w:rsidR="008453BC" w:rsidRPr="00721AD2" w:rsidRDefault="008453BC" w:rsidP="008453BC">
      <w:pPr>
        <w:suppressAutoHyphens/>
        <w:rPr>
          <w:rFonts w:asciiTheme="majorBidi" w:hAnsiTheme="majorBidi" w:cstheme="majorBidi"/>
          <w:spacing w:val="-2"/>
          <w:sz w:val="24"/>
          <w:szCs w:val="24"/>
        </w:rPr>
      </w:pPr>
      <w:r w:rsidRPr="00721AD2">
        <w:rPr>
          <w:rFonts w:asciiTheme="majorBidi" w:hAnsiTheme="majorBidi" w:cstheme="majorBidi"/>
          <w:b/>
          <w:bCs/>
          <w:spacing w:val="-2"/>
          <w:sz w:val="24"/>
          <w:szCs w:val="24"/>
        </w:rPr>
        <w:t>Project Name:</w:t>
      </w:r>
      <w:r w:rsidRPr="00721AD2">
        <w:rPr>
          <w:rFonts w:asciiTheme="majorBidi" w:hAnsiTheme="majorBidi" w:cstheme="majorBidi"/>
          <w:spacing w:val="-2"/>
          <w:sz w:val="24"/>
          <w:szCs w:val="24"/>
        </w:rPr>
        <w:t xml:space="preserve"> </w:t>
      </w:r>
      <w:r w:rsidR="00601557" w:rsidRPr="00601557">
        <w:rPr>
          <w:rFonts w:asciiTheme="majorBidi" w:hAnsiTheme="majorBidi" w:cstheme="majorBidi"/>
          <w:spacing w:val="-2"/>
          <w:sz w:val="24"/>
          <w:szCs w:val="24"/>
        </w:rPr>
        <w:t xml:space="preserve">Islamic Finance Grant for a Sector Assessment and Development of a Strategic Participation Finance Roadmap for the Republic of </w:t>
      </w:r>
      <w:proofErr w:type="gramStart"/>
      <w:r w:rsidR="00601557" w:rsidRPr="00601557">
        <w:rPr>
          <w:rFonts w:asciiTheme="majorBidi" w:hAnsiTheme="majorBidi" w:cstheme="majorBidi"/>
          <w:spacing w:val="-2"/>
          <w:sz w:val="24"/>
          <w:szCs w:val="24"/>
        </w:rPr>
        <w:t>Türkiye</w:t>
      </w:r>
      <w:r w:rsidRPr="00721AD2">
        <w:rPr>
          <w:rFonts w:asciiTheme="majorBidi" w:hAnsiTheme="majorBidi" w:cstheme="majorBidi"/>
          <w:spacing w:val="-2"/>
          <w:sz w:val="24"/>
          <w:szCs w:val="24"/>
        </w:rPr>
        <w:t>(</w:t>
      </w:r>
      <w:proofErr w:type="gramEnd"/>
      <w:r w:rsidRPr="00721AD2">
        <w:rPr>
          <w:rFonts w:asciiTheme="majorBidi" w:hAnsiTheme="majorBidi" w:cstheme="majorBidi"/>
          <w:spacing w:val="-2"/>
          <w:sz w:val="24"/>
          <w:szCs w:val="24"/>
        </w:rPr>
        <w:t>2026–2030)</w:t>
      </w:r>
    </w:p>
    <w:p w14:paraId="40096E14" w14:textId="77777777" w:rsidR="008453BC" w:rsidRPr="00721AD2" w:rsidRDefault="008453BC" w:rsidP="008453BC">
      <w:pPr>
        <w:suppressAutoHyphens/>
        <w:rPr>
          <w:rFonts w:asciiTheme="majorBidi" w:hAnsiTheme="majorBidi" w:cstheme="majorBidi"/>
          <w:spacing w:val="-2"/>
          <w:sz w:val="24"/>
          <w:szCs w:val="24"/>
        </w:rPr>
      </w:pPr>
      <w:r w:rsidRPr="00721AD2">
        <w:rPr>
          <w:rFonts w:asciiTheme="majorBidi" w:hAnsiTheme="majorBidi" w:cstheme="majorBidi"/>
          <w:b/>
          <w:bCs/>
          <w:spacing w:val="-2"/>
          <w:sz w:val="24"/>
          <w:szCs w:val="24"/>
        </w:rPr>
        <w:t>Sector:</w:t>
      </w:r>
      <w:r w:rsidRPr="00721AD2">
        <w:rPr>
          <w:rFonts w:asciiTheme="majorBidi" w:hAnsiTheme="majorBidi" w:cstheme="majorBidi"/>
          <w:spacing w:val="-2"/>
          <w:sz w:val="24"/>
          <w:szCs w:val="24"/>
        </w:rPr>
        <w:t xml:space="preserve"> Islamic Banking and Finance </w:t>
      </w:r>
    </w:p>
    <w:p w14:paraId="44D0DCF7" w14:textId="77777777" w:rsidR="008453BC" w:rsidRPr="00721AD2" w:rsidRDefault="008453BC" w:rsidP="008453BC">
      <w:pPr>
        <w:suppressAutoHyphens/>
        <w:rPr>
          <w:rFonts w:asciiTheme="majorBidi" w:hAnsiTheme="majorBidi" w:cstheme="majorBidi"/>
          <w:sz w:val="24"/>
          <w:szCs w:val="24"/>
        </w:rPr>
      </w:pPr>
      <w:r w:rsidRPr="00721AD2">
        <w:rPr>
          <w:rFonts w:asciiTheme="majorBidi" w:hAnsiTheme="majorBidi" w:cstheme="majorBidi"/>
          <w:b/>
          <w:bCs/>
          <w:sz w:val="24"/>
          <w:szCs w:val="24"/>
        </w:rPr>
        <w:t>Mode of Financing:</w:t>
      </w:r>
      <w:r w:rsidRPr="00721AD2">
        <w:rPr>
          <w:rFonts w:asciiTheme="majorBidi" w:hAnsiTheme="majorBidi" w:cstheme="majorBidi"/>
          <w:sz w:val="24"/>
          <w:szCs w:val="24"/>
        </w:rPr>
        <w:t xml:space="preserve"> Islamic Finance Grant </w:t>
      </w:r>
    </w:p>
    <w:p w14:paraId="1BB9D88F" w14:textId="2F95EEAA" w:rsidR="008453BC" w:rsidRPr="00721AD2" w:rsidRDefault="008453BC" w:rsidP="008453BC">
      <w:pPr>
        <w:pStyle w:val="BodyText"/>
        <w:rPr>
          <w:rFonts w:asciiTheme="majorBidi" w:hAnsiTheme="majorBidi" w:cstheme="majorBidi"/>
        </w:rPr>
      </w:pPr>
      <w:r w:rsidRPr="00721AD2">
        <w:rPr>
          <w:rFonts w:asciiTheme="majorBidi" w:hAnsiTheme="majorBidi" w:cstheme="majorBidi"/>
          <w:b/>
          <w:bCs/>
          <w:szCs w:val="24"/>
        </w:rPr>
        <w:t>Financing No:</w:t>
      </w:r>
      <w:r w:rsidRPr="00721AD2">
        <w:rPr>
          <w:rFonts w:asciiTheme="majorBidi" w:hAnsiTheme="majorBidi" w:cstheme="majorBidi"/>
          <w:szCs w:val="24"/>
        </w:rPr>
        <w:t xml:space="preserve"> ZZZ2874</w:t>
      </w:r>
    </w:p>
    <w:p w14:paraId="777A1C8F" w14:textId="77777777" w:rsidR="008453BC" w:rsidRPr="00721AD2" w:rsidRDefault="008453BC">
      <w:pPr>
        <w:spacing w:after="200" w:line="276" w:lineRule="auto"/>
        <w:jc w:val="both"/>
        <w:rPr>
          <w:rFonts w:asciiTheme="majorBidi" w:hAnsiTheme="majorBidi" w:cstheme="majorBidi"/>
        </w:rPr>
      </w:pPr>
    </w:p>
    <w:p w14:paraId="256EC323" w14:textId="2042565B" w:rsidR="001C059D" w:rsidRPr="00721AD2" w:rsidRDefault="00000000">
      <w:pPr>
        <w:spacing w:after="200" w:line="276" w:lineRule="auto"/>
        <w:jc w:val="both"/>
        <w:rPr>
          <w:rFonts w:asciiTheme="majorBidi" w:hAnsiTheme="majorBidi" w:cstheme="majorBidi"/>
          <w:sz w:val="22"/>
          <w:szCs w:val="22"/>
        </w:rPr>
      </w:pPr>
      <w:r w:rsidRPr="00721AD2">
        <w:rPr>
          <w:rFonts w:asciiTheme="majorBidi" w:hAnsiTheme="majorBidi" w:cstheme="majorBidi"/>
          <w:sz w:val="22"/>
          <w:szCs w:val="22"/>
        </w:rPr>
        <w:t xml:space="preserve">The Islamic Development Bank Institute (IsDBI) </w:t>
      </w:r>
      <w:r w:rsidR="00147874" w:rsidRPr="00721AD2">
        <w:rPr>
          <w:rFonts w:asciiTheme="majorBidi" w:hAnsiTheme="majorBidi" w:cstheme="majorBidi"/>
          <w:sz w:val="22"/>
          <w:szCs w:val="22"/>
        </w:rPr>
        <w:t>has approved</w:t>
      </w:r>
      <w:r w:rsidR="00147874" w:rsidRPr="00721AD2">
        <w:rPr>
          <w:rFonts w:asciiTheme="majorBidi" w:hAnsiTheme="majorBidi" w:cstheme="majorBidi"/>
          <w:i/>
          <w:iCs/>
          <w:sz w:val="22"/>
          <w:szCs w:val="22"/>
        </w:rPr>
        <w:t xml:space="preserve"> </w:t>
      </w:r>
      <w:r w:rsidRPr="00721AD2">
        <w:rPr>
          <w:rFonts w:asciiTheme="majorBidi" w:hAnsiTheme="majorBidi" w:cstheme="majorBidi"/>
          <w:sz w:val="22"/>
          <w:szCs w:val="22"/>
        </w:rPr>
        <w:t>a</w:t>
      </w:r>
      <w:r w:rsidR="00601557">
        <w:rPr>
          <w:rFonts w:asciiTheme="majorBidi" w:hAnsiTheme="majorBidi" w:cstheme="majorBidi"/>
          <w:sz w:val="22"/>
          <w:szCs w:val="22"/>
        </w:rPr>
        <w:t>n</w:t>
      </w:r>
      <w:r w:rsidRPr="00721AD2">
        <w:rPr>
          <w:rFonts w:asciiTheme="majorBidi" w:hAnsiTheme="majorBidi" w:cstheme="majorBidi"/>
          <w:sz w:val="22"/>
          <w:szCs w:val="22"/>
        </w:rPr>
        <w:t xml:space="preserve"> </w:t>
      </w:r>
      <w:r w:rsidR="00601557">
        <w:rPr>
          <w:rFonts w:asciiTheme="majorBidi" w:hAnsiTheme="majorBidi" w:cstheme="majorBidi"/>
          <w:sz w:val="22"/>
          <w:szCs w:val="22"/>
        </w:rPr>
        <w:t>Islamic Finance</w:t>
      </w:r>
      <w:r w:rsidRPr="00721AD2">
        <w:rPr>
          <w:rFonts w:asciiTheme="majorBidi" w:hAnsiTheme="majorBidi" w:cstheme="majorBidi"/>
          <w:sz w:val="22"/>
          <w:szCs w:val="22"/>
        </w:rPr>
        <w:t xml:space="preserve"> Grant in the amount of </w:t>
      </w:r>
      <w:r w:rsidRPr="00721AD2">
        <w:rPr>
          <w:rFonts w:asciiTheme="majorBidi" w:hAnsiTheme="majorBidi" w:cstheme="majorBidi"/>
          <w:b/>
          <w:bCs/>
          <w:sz w:val="22"/>
          <w:szCs w:val="22"/>
        </w:rPr>
        <w:t xml:space="preserve">USD </w:t>
      </w:r>
      <w:r w:rsidR="00601557" w:rsidRPr="00721AD2">
        <w:rPr>
          <w:rFonts w:asciiTheme="majorBidi" w:hAnsiTheme="majorBidi" w:cstheme="majorBidi"/>
          <w:b/>
          <w:bCs/>
          <w:sz w:val="22"/>
          <w:szCs w:val="22"/>
        </w:rPr>
        <w:t>1</w:t>
      </w:r>
      <w:r w:rsidR="00601557">
        <w:rPr>
          <w:rFonts w:asciiTheme="majorBidi" w:hAnsiTheme="majorBidi" w:cstheme="majorBidi"/>
          <w:b/>
          <w:bCs/>
          <w:sz w:val="22"/>
          <w:szCs w:val="22"/>
        </w:rPr>
        <w:t>85</w:t>
      </w:r>
      <w:r w:rsidRPr="00721AD2">
        <w:rPr>
          <w:rFonts w:asciiTheme="majorBidi" w:hAnsiTheme="majorBidi" w:cstheme="majorBidi"/>
          <w:b/>
          <w:bCs/>
          <w:sz w:val="22"/>
          <w:szCs w:val="22"/>
        </w:rPr>
        <w:t xml:space="preserve">,000 </w:t>
      </w:r>
      <w:r w:rsidRPr="00721AD2">
        <w:rPr>
          <w:rFonts w:asciiTheme="majorBidi" w:hAnsiTheme="majorBidi" w:cstheme="majorBidi"/>
          <w:sz w:val="22"/>
          <w:szCs w:val="22"/>
        </w:rPr>
        <w:t>from the Islamic Development Bank toward the cost of the Preparation of the Participation Finance Strategy Document of the Republic of Türkiye (2026–2030), for the benefit of the Investment &amp; Finance Office of the Presidency of the Republic of Türkiye (“CBYFO”), and intends to apply the proceeds to payments for consulting services to be procured under this project.</w:t>
      </w:r>
    </w:p>
    <w:p w14:paraId="2540CAFE" w14:textId="2BF7B0A2" w:rsidR="001C059D" w:rsidRPr="00721AD2" w:rsidRDefault="00000000">
      <w:pPr>
        <w:spacing w:after="200" w:line="276" w:lineRule="auto"/>
        <w:jc w:val="both"/>
        <w:rPr>
          <w:rFonts w:asciiTheme="majorBidi" w:hAnsiTheme="majorBidi" w:cstheme="majorBidi"/>
          <w:sz w:val="22"/>
          <w:szCs w:val="22"/>
        </w:rPr>
      </w:pPr>
      <w:r w:rsidRPr="00721AD2">
        <w:rPr>
          <w:rFonts w:asciiTheme="majorBidi" w:hAnsiTheme="majorBidi" w:cstheme="majorBidi"/>
          <w:sz w:val="22"/>
          <w:szCs w:val="22"/>
        </w:rPr>
        <w:t xml:space="preserve">The project consists of a single technical assistance package: consultancy services to support IsDBI in the preparation of Türkiye’s second Participation Finance Strategy Document (2026–2030), covering data validation, a benchmarking study, technical drafting inputs, and technical support to the consultation and </w:t>
      </w:r>
      <w:r w:rsidR="00601557" w:rsidRPr="00721AD2">
        <w:rPr>
          <w:rFonts w:asciiTheme="majorBidi" w:hAnsiTheme="majorBidi" w:cstheme="majorBidi"/>
          <w:sz w:val="22"/>
          <w:szCs w:val="22"/>
        </w:rPr>
        <w:t>finalization</w:t>
      </w:r>
      <w:r w:rsidRPr="00721AD2">
        <w:rPr>
          <w:rFonts w:asciiTheme="majorBidi" w:hAnsiTheme="majorBidi" w:cstheme="majorBidi"/>
          <w:sz w:val="22"/>
          <w:szCs w:val="22"/>
        </w:rPr>
        <w:t xml:space="preserve"> stages of the Strategy Document. The project does not include the procurement of goods or works.</w:t>
      </w:r>
    </w:p>
    <w:p w14:paraId="41B82B5E" w14:textId="53599967" w:rsidR="001C059D" w:rsidRPr="00721AD2" w:rsidRDefault="00000000">
      <w:pPr>
        <w:spacing w:after="200" w:line="276" w:lineRule="auto"/>
        <w:jc w:val="both"/>
        <w:rPr>
          <w:rFonts w:asciiTheme="majorBidi" w:hAnsiTheme="majorBidi" w:cstheme="majorBidi"/>
          <w:sz w:val="22"/>
          <w:szCs w:val="22"/>
        </w:rPr>
      </w:pPr>
      <w:r w:rsidRPr="00721AD2">
        <w:rPr>
          <w:rFonts w:asciiTheme="majorBidi" w:hAnsiTheme="majorBidi" w:cstheme="majorBidi"/>
          <w:sz w:val="22"/>
          <w:szCs w:val="22"/>
        </w:rPr>
        <w:t>Consulting services financed by the Islamic Development Bank will be selected in accordance with the procedures specified in the Guidelines for the Procurement of Consultancy Services under Islamic Development Bank Project Financing (April 2019</w:t>
      </w:r>
      <w:r w:rsidR="00601557">
        <w:rPr>
          <w:rFonts w:asciiTheme="majorBidi" w:hAnsiTheme="majorBidi" w:cstheme="majorBidi"/>
          <w:sz w:val="22"/>
          <w:szCs w:val="22"/>
        </w:rPr>
        <w:t>, revised February 2023</w:t>
      </w:r>
      <w:r w:rsidRPr="00721AD2">
        <w:rPr>
          <w:rFonts w:asciiTheme="majorBidi" w:hAnsiTheme="majorBidi" w:cstheme="majorBidi"/>
          <w:sz w:val="22"/>
          <w:szCs w:val="22"/>
        </w:rPr>
        <w:t xml:space="preserve"> edition</w:t>
      </w:r>
      <w:proofErr w:type="gramStart"/>
      <w:r w:rsidRPr="00721AD2">
        <w:rPr>
          <w:rFonts w:asciiTheme="majorBidi" w:hAnsiTheme="majorBidi" w:cstheme="majorBidi"/>
          <w:sz w:val="22"/>
          <w:szCs w:val="22"/>
        </w:rPr>
        <w:t>), and</w:t>
      </w:r>
      <w:proofErr w:type="gramEnd"/>
      <w:r w:rsidRPr="00721AD2">
        <w:rPr>
          <w:rFonts w:asciiTheme="majorBidi" w:hAnsiTheme="majorBidi" w:cstheme="majorBidi"/>
          <w:sz w:val="22"/>
          <w:szCs w:val="22"/>
        </w:rPr>
        <w:t xml:space="preserve"> are open to consulting firms </w:t>
      </w:r>
      <w:r w:rsidR="00147874" w:rsidRPr="00721AD2">
        <w:rPr>
          <w:rFonts w:asciiTheme="majorBidi" w:hAnsiTheme="majorBidi" w:cstheme="majorBidi"/>
          <w:sz w:val="22"/>
          <w:szCs w:val="22"/>
        </w:rPr>
        <w:t>from</w:t>
      </w:r>
      <w:r w:rsidRPr="00721AD2">
        <w:rPr>
          <w:rFonts w:asciiTheme="majorBidi" w:hAnsiTheme="majorBidi" w:cstheme="majorBidi"/>
          <w:sz w:val="22"/>
          <w:szCs w:val="22"/>
        </w:rPr>
        <w:t xml:space="preserve"> IsDB Member Countries, in accordance with the eligibility criteria set out in the Guidelines.</w:t>
      </w:r>
    </w:p>
    <w:p w14:paraId="51649EB9" w14:textId="3FD60F33" w:rsidR="001C059D" w:rsidRPr="00721AD2" w:rsidRDefault="00000000">
      <w:pPr>
        <w:spacing w:after="200" w:line="276" w:lineRule="auto"/>
        <w:jc w:val="both"/>
        <w:rPr>
          <w:rFonts w:asciiTheme="majorBidi" w:hAnsiTheme="majorBidi" w:cstheme="majorBidi"/>
          <w:sz w:val="22"/>
          <w:szCs w:val="22"/>
        </w:rPr>
      </w:pPr>
      <w:r w:rsidRPr="00721AD2">
        <w:rPr>
          <w:rFonts w:asciiTheme="majorBidi" w:hAnsiTheme="majorBidi" w:cstheme="majorBidi"/>
          <w:sz w:val="22"/>
          <w:szCs w:val="22"/>
        </w:rPr>
        <w:t xml:space="preserve">A Request for Expressions of Interest (REOI) for the consultancy assignment referred to above will be announced, on the </w:t>
      </w:r>
      <w:hyperlink r:id="rId7" w:history="1">
        <w:r w:rsidR="00601557" w:rsidRPr="006F35D6">
          <w:rPr>
            <w:rStyle w:val="Hyperlink"/>
            <w:rFonts w:asciiTheme="majorBidi" w:hAnsiTheme="majorBidi" w:cstheme="majorBidi"/>
            <w:sz w:val="22"/>
            <w:szCs w:val="22"/>
          </w:rPr>
          <w:t>www.isdb.org</w:t>
        </w:r>
      </w:hyperlink>
      <w:r w:rsidR="00601557">
        <w:rPr>
          <w:rFonts w:asciiTheme="majorBidi" w:hAnsiTheme="majorBidi" w:cstheme="majorBidi"/>
          <w:sz w:val="22"/>
          <w:szCs w:val="22"/>
        </w:rPr>
        <w:t xml:space="preserve"> </w:t>
      </w:r>
      <w:r w:rsidR="005A14CF">
        <w:rPr>
          <w:rFonts w:asciiTheme="majorBidi" w:hAnsiTheme="majorBidi" w:cstheme="majorBidi"/>
          <w:sz w:val="22"/>
          <w:szCs w:val="22"/>
        </w:rPr>
        <w:t>and DG-Market</w:t>
      </w:r>
      <w:r w:rsidRPr="00721AD2">
        <w:rPr>
          <w:rFonts w:asciiTheme="majorBidi" w:hAnsiTheme="majorBidi" w:cstheme="majorBidi"/>
          <w:sz w:val="22"/>
          <w:szCs w:val="22"/>
        </w:rPr>
        <w:t>.</w:t>
      </w:r>
    </w:p>
    <w:p w14:paraId="1C29F66D" w14:textId="77777777" w:rsidR="001C059D" w:rsidRPr="00721AD2" w:rsidRDefault="00000000">
      <w:pPr>
        <w:spacing w:after="200" w:line="276" w:lineRule="auto"/>
        <w:jc w:val="both"/>
        <w:rPr>
          <w:rFonts w:asciiTheme="majorBidi" w:hAnsiTheme="majorBidi" w:cstheme="majorBidi"/>
          <w:sz w:val="22"/>
          <w:szCs w:val="22"/>
        </w:rPr>
      </w:pPr>
      <w:r w:rsidRPr="00721AD2">
        <w:rPr>
          <w:rFonts w:asciiTheme="majorBidi" w:hAnsiTheme="majorBidi" w:cstheme="majorBidi"/>
          <w:sz w:val="22"/>
          <w:szCs w:val="22"/>
        </w:rPr>
        <w:t>Prequalification of suppliers and contractors is not applicable to this project, as it does not include the procurement of goods or works.</w:t>
      </w:r>
    </w:p>
    <w:p w14:paraId="10DF7790" w14:textId="77777777" w:rsidR="001C059D" w:rsidRPr="00721AD2" w:rsidRDefault="00000000">
      <w:pPr>
        <w:spacing w:after="200" w:line="276" w:lineRule="auto"/>
        <w:jc w:val="both"/>
        <w:rPr>
          <w:rFonts w:asciiTheme="majorBidi" w:hAnsiTheme="majorBidi" w:cstheme="majorBidi"/>
          <w:sz w:val="22"/>
          <w:szCs w:val="22"/>
        </w:rPr>
      </w:pPr>
      <w:r w:rsidRPr="00721AD2">
        <w:rPr>
          <w:rFonts w:asciiTheme="majorBidi" w:hAnsiTheme="majorBidi" w:cstheme="majorBidi"/>
          <w:sz w:val="22"/>
          <w:szCs w:val="22"/>
        </w:rPr>
        <w:t>Interested eligible firms who wish to be considered for the provision of the consulting services for the above-mentioned project, or those requiring additional information, should contact the Beneficiary at the address below:</w:t>
      </w:r>
    </w:p>
    <w:p w14:paraId="1C226E46" w14:textId="77777777" w:rsidR="00147874" w:rsidRPr="00721AD2" w:rsidRDefault="00147874" w:rsidP="008453BC">
      <w:pPr>
        <w:suppressAutoHyphens/>
        <w:spacing w:before="480" w:after="120"/>
        <w:jc w:val="both"/>
        <w:rPr>
          <w:rFonts w:asciiTheme="majorBidi" w:eastAsia="Times New Roman" w:hAnsiTheme="majorBidi" w:cstheme="majorBidi"/>
          <w:b/>
          <w:bCs/>
          <w:spacing w:val="-2"/>
          <w:sz w:val="24"/>
          <w:szCs w:val="24"/>
        </w:rPr>
      </w:pPr>
      <w:r w:rsidRPr="00721AD2">
        <w:rPr>
          <w:rFonts w:asciiTheme="majorBidi" w:eastAsia="Times New Roman" w:hAnsiTheme="majorBidi" w:cstheme="majorBidi"/>
          <w:b/>
          <w:bCs/>
          <w:spacing w:val="-2"/>
          <w:sz w:val="24"/>
          <w:szCs w:val="24"/>
        </w:rPr>
        <w:t>THE ISLAMIC DEVELOPMENT BANK INSTITUTE</w:t>
      </w:r>
    </w:p>
    <w:p w14:paraId="6FED46D3" w14:textId="55A37253" w:rsidR="00147874" w:rsidRPr="00721AD2" w:rsidRDefault="00147874" w:rsidP="008453BC">
      <w:pPr>
        <w:spacing w:after="40"/>
        <w:rPr>
          <w:rFonts w:asciiTheme="majorBidi" w:hAnsiTheme="majorBidi" w:cstheme="majorBidi"/>
          <w:b/>
          <w:bCs/>
          <w:sz w:val="22"/>
          <w:szCs w:val="22"/>
        </w:rPr>
      </w:pPr>
      <w:r w:rsidRPr="00721AD2">
        <w:rPr>
          <w:rFonts w:asciiTheme="majorBidi" w:hAnsiTheme="majorBidi" w:cstheme="majorBidi"/>
          <w:b/>
          <w:bCs/>
          <w:sz w:val="22"/>
          <w:szCs w:val="22"/>
        </w:rPr>
        <w:t>Attention:</w:t>
      </w:r>
      <w:r w:rsidR="008453BC" w:rsidRPr="00721AD2">
        <w:rPr>
          <w:rFonts w:asciiTheme="majorBidi" w:hAnsiTheme="majorBidi" w:cstheme="majorBidi"/>
          <w:b/>
          <w:bCs/>
          <w:sz w:val="22"/>
          <w:szCs w:val="22"/>
        </w:rPr>
        <w:t xml:space="preserve"> Corporate Performance </w:t>
      </w:r>
    </w:p>
    <w:p w14:paraId="0441AD2C" w14:textId="315369ED" w:rsidR="00147874" w:rsidRPr="00721AD2" w:rsidRDefault="00147874" w:rsidP="008453BC">
      <w:pPr>
        <w:spacing w:after="40"/>
        <w:rPr>
          <w:rFonts w:asciiTheme="majorBidi" w:hAnsiTheme="majorBidi" w:cstheme="majorBidi"/>
          <w:b/>
          <w:bCs/>
          <w:sz w:val="22"/>
          <w:szCs w:val="22"/>
        </w:rPr>
      </w:pPr>
      <w:r w:rsidRPr="00721AD2">
        <w:rPr>
          <w:rFonts w:asciiTheme="majorBidi" w:hAnsiTheme="majorBidi" w:cstheme="majorBidi"/>
          <w:b/>
          <w:bCs/>
          <w:sz w:val="22"/>
          <w:szCs w:val="22"/>
        </w:rPr>
        <w:t>Email:</w:t>
      </w:r>
      <w:r w:rsidR="008453BC" w:rsidRPr="00721AD2">
        <w:rPr>
          <w:rFonts w:asciiTheme="majorBidi" w:hAnsiTheme="majorBidi" w:cstheme="majorBidi"/>
          <w:b/>
          <w:bCs/>
          <w:sz w:val="22"/>
          <w:szCs w:val="22"/>
        </w:rPr>
        <w:t xml:space="preserve"> </w:t>
      </w:r>
      <w:hyperlink r:id="rId8" w:history="1">
        <w:r w:rsidR="008453BC" w:rsidRPr="00721AD2">
          <w:rPr>
            <w:rStyle w:val="Hyperlink"/>
            <w:rFonts w:asciiTheme="majorBidi" w:hAnsiTheme="majorBidi" w:cstheme="majorBidi"/>
            <w:b/>
            <w:bCs/>
            <w:sz w:val="22"/>
            <w:szCs w:val="22"/>
          </w:rPr>
          <w:t>cp.isdbi@isdb.org</w:t>
        </w:r>
      </w:hyperlink>
      <w:r w:rsidR="008453BC" w:rsidRPr="00721AD2">
        <w:rPr>
          <w:rFonts w:asciiTheme="majorBidi" w:hAnsiTheme="majorBidi" w:cstheme="majorBidi"/>
          <w:b/>
          <w:bCs/>
          <w:sz w:val="22"/>
          <w:szCs w:val="22"/>
        </w:rPr>
        <w:t xml:space="preserve"> </w:t>
      </w:r>
    </w:p>
    <w:sectPr w:rsidR="00147874" w:rsidRPr="00721AD2">
      <w:headerReference w:type="even" r:id="rId9"/>
      <w:headerReference w:type="default" r:id="rId10"/>
      <w:headerReference w:type="first" r:id="rId11"/>
      <w:pgSz w:w="12240" w:h="15840"/>
      <w:pgMar w:top="1080" w:right="1350" w:bottom="1080" w:left="135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56EC3" w14:textId="77777777" w:rsidR="00D27EB9" w:rsidRDefault="00D27EB9" w:rsidP="00F14AB6">
      <w:r>
        <w:separator/>
      </w:r>
    </w:p>
  </w:endnote>
  <w:endnote w:type="continuationSeparator" w:id="0">
    <w:p w14:paraId="3092B1C3" w14:textId="77777777" w:rsidR="00D27EB9" w:rsidRDefault="00D27EB9" w:rsidP="00F14A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ED835" w14:textId="77777777" w:rsidR="00D27EB9" w:rsidRDefault="00D27EB9" w:rsidP="00F14AB6">
      <w:r>
        <w:separator/>
      </w:r>
    </w:p>
  </w:footnote>
  <w:footnote w:type="continuationSeparator" w:id="0">
    <w:p w14:paraId="2919AAA2" w14:textId="77777777" w:rsidR="00D27EB9" w:rsidRDefault="00D27EB9" w:rsidP="00F14A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793D5" w14:textId="125AE249" w:rsidR="00F14AB6" w:rsidRDefault="00F14AB6">
    <w:pPr>
      <w:pStyle w:val="Header"/>
    </w:pPr>
    <w:r>
      <w:rPr>
        <w:noProof/>
      </w:rPr>
      <mc:AlternateContent>
        <mc:Choice Requires="wps">
          <w:drawing>
            <wp:anchor distT="0" distB="0" distL="0" distR="0" simplePos="0" relativeHeight="251659264" behindDoc="0" locked="0" layoutInCell="1" allowOverlap="1" wp14:anchorId="43A7CD48" wp14:editId="2B1C32AE">
              <wp:simplePos x="635" y="635"/>
              <wp:positionH relativeFrom="page">
                <wp:align>left</wp:align>
              </wp:positionH>
              <wp:positionV relativeFrom="page">
                <wp:align>top</wp:align>
              </wp:positionV>
              <wp:extent cx="793750" cy="345440"/>
              <wp:effectExtent l="0" t="0" r="6350" b="16510"/>
              <wp:wrapNone/>
              <wp:docPr id="22909182" name="Text Box 2" descr="Prote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93750" cy="345440"/>
                      </a:xfrm>
                      <a:prstGeom prst="rect">
                        <a:avLst/>
                      </a:prstGeom>
                      <a:noFill/>
                      <a:ln>
                        <a:noFill/>
                      </a:ln>
                    </wps:spPr>
                    <wps:txbx>
                      <w:txbxContent>
                        <w:p w14:paraId="62E012F1" w14:textId="4943A428" w:rsidR="00F14AB6" w:rsidRPr="00F14AB6" w:rsidRDefault="00F14AB6" w:rsidP="00F14AB6">
                          <w:pPr>
                            <w:rPr>
                              <w:rFonts w:ascii="Aptos" w:eastAsia="Aptos" w:hAnsi="Aptos" w:cs="Aptos"/>
                              <w:noProof/>
                              <w:color w:val="000000"/>
                              <w:sz w:val="20"/>
                              <w:szCs w:val="20"/>
                            </w:rPr>
                          </w:pPr>
                          <w:r w:rsidRPr="00F14AB6">
                            <w:rPr>
                              <w:rFonts w:ascii="Aptos" w:eastAsia="Aptos" w:hAnsi="Aptos" w:cs="Aptos"/>
                              <w:noProof/>
                              <w:color w:val="000000"/>
                              <w:sz w:val="20"/>
                              <w:szCs w:val="20"/>
                            </w:rPr>
                            <w:t>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3A7CD48" id="_x0000_t202" coordsize="21600,21600" o:spt="202" path="m,l,21600r21600,l21600,xe">
              <v:stroke joinstyle="miter"/>
              <v:path gradientshapeok="t" o:connecttype="rect"/>
            </v:shapetype>
            <v:shape id="Text Box 2" o:spid="_x0000_s1026" type="#_x0000_t202" alt="Protected" style="position:absolute;margin-left:0;margin-top:0;width:62.5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" filled="f" stroked="f">
              <v:textbox style="mso-fit-shape-to-text:t" inset="20pt,15pt,0,0">
                <w:txbxContent>
                  <w:p w14:paraId="62E012F1" w14:textId="4943A428" w:rsidR="00F14AB6" w:rsidRPr="00F14AB6" w:rsidRDefault="00F14AB6" w:rsidP="00F14AB6">
                    <w:pPr>
                      <w:rPr>
                        <w:rFonts w:ascii="Aptos" w:eastAsia="Aptos" w:hAnsi="Aptos" w:cs="Aptos"/>
                        <w:noProof/>
                        <w:color w:val="000000"/>
                        <w:sz w:val="20"/>
                        <w:szCs w:val="20"/>
                      </w:rPr>
                    </w:pPr>
                    <w:r w:rsidRPr="00F14AB6">
                      <w:rPr>
                        <w:rFonts w:ascii="Aptos" w:eastAsia="Aptos" w:hAnsi="Aptos" w:cs="Aptos"/>
                        <w:noProof/>
                        <w:color w:val="000000"/>
                        <w:sz w:val="20"/>
                        <w:szCs w:val="20"/>
                      </w:rPr>
                      <w:t>Protected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A9361" w14:textId="36D00682" w:rsidR="00F14AB6" w:rsidRDefault="00F14AB6">
    <w:pPr>
      <w:pStyle w:val="Header"/>
    </w:pPr>
    <w:r>
      <w:rPr>
        <w:noProof/>
      </w:rPr>
      <mc:AlternateContent>
        <mc:Choice Requires="wps">
          <w:drawing>
            <wp:anchor distT="0" distB="0" distL="0" distR="0" simplePos="0" relativeHeight="251660288" behindDoc="0" locked="0" layoutInCell="1" allowOverlap="1" wp14:anchorId="65967F2B" wp14:editId="68721BA3">
              <wp:simplePos x="857250" y="450850"/>
              <wp:positionH relativeFrom="page">
                <wp:align>left</wp:align>
              </wp:positionH>
              <wp:positionV relativeFrom="page">
                <wp:align>top</wp:align>
              </wp:positionV>
              <wp:extent cx="793750" cy="345440"/>
              <wp:effectExtent l="0" t="0" r="6350" b="16510"/>
              <wp:wrapNone/>
              <wp:docPr id="1929920426" name="Text Box 3" descr="Prote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93750" cy="345440"/>
                      </a:xfrm>
                      <a:prstGeom prst="rect">
                        <a:avLst/>
                      </a:prstGeom>
                      <a:noFill/>
                      <a:ln>
                        <a:noFill/>
                      </a:ln>
                    </wps:spPr>
                    <wps:txbx>
                      <w:txbxContent>
                        <w:p w14:paraId="1005C864" w14:textId="48E56764" w:rsidR="00F14AB6" w:rsidRPr="00F14AB6" w:rsidRDefault="00F14AB6" w:rsidP="00F14AB6">
                          <w:pPr>
                            <w:rPr>
                              <w:rFonts w:ascii="Aptos" w:eastAsia="Aptos" w:hAnsi="Aptos" w:cs="Aptos"/>
                              <w:noProof/>
                              <w:color w:val="000000"/>
                              <w:sz w:val="20"/>
                              <w:szCs w:val="20"/>
                            </w:rPr>
                          </w:pPr>
                          <w:r w:rsidRPr="00F14AB6">
                            <w:rPr>
                              <w:rFonts w:ascii="Aptos" w:eastAsia="Aptos" w:hAnsi="Aptos" w:cs="Aptos"/>
                              <w:noProof/>
                              <w:color w:val="000000"/>
                              <w:sz w:val="20"/>
                              <w:szCs w:val="20"/>
                            </w:rPr>
                            <w:t>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5967F2B" id="_x0000_t202" coordsize="21600,21600" o:spt="202" path="m,l,21600r21600,l21600,xe">
              <v:stroke joinstyle="miter"/>
              <v:path gradientshapeok="t" o:connecttype="rect"/>
            </v:shapetype>
            <v:shape id="Text Box 3" o:spid="_x0000_s1027" type="#_x0000_t202" alt="Protected" style="position:absolute;margin-left:0;margin-top:0;width:62.5pt;height:27.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" filled="f" stroked="f">
              <v:textbox style="mso-fit-shape-to-text:t" inset="20pt,15pt,0,0">
                <w:txbxContent>
                  <w:p w14:paraId="1005C864" w14:textId="48E56764" w:rsidR="00F14AB6" w:rsidRPr="00F14AB6" w:rsidRDefault="00F14AB6" w:rsidP="00F14AB6">
                    <w:pPr>
                      <w:rPr>
                        <w:rFonts w:ascii="Aptos" w:eastAsia="Aptos" w:hAnsi="Aptos" w:cs="Aptos"/>
                        <w:noProof/>
                        <w:color w:val="000000"/>
                        <w:sz w:val="20"/>
                        <w:szCs w:val="20"/>
                      </w:rPr>
                    </w:pPr>
                    <w:r w:rsidRPr="00F14AB6">
                      <w:rPr>
                        <w:rFonts w:ascii="Aptos" w:eastAsia="Aptos" w:hAnsi="Aptos" w:cs="Aptos"/>
                        <w:noProof/>
                        <w:color w:val="000000"/>
                        <w:sz w:val="20"/>
                        <w:szCs w:val="20"/>
                      </w:rPr>
                      <w:t>Protected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C3B3A" w14:textId="0578E338" w:rsidR="00F14AB6" w:rsidRDefault="00F14AB6">
    <w:pPr>
      <w:pStyle w:val="Header"/>
    </w:pPr>
    <w:r>
      <w:rPr>
        <w:noProof/>
      </w:rPr>
      <mc:AlternateContent>
        <mc:Choice Requires="wps">
          <w:drawing>
            <wp:anchor distT="0" distB="0" distL="0" distR="0" simplePos="0" relativeHeight="251658240" behindDoc="0" locked="0" layoutInCell="1" allowOverlap="1" wp14:anchorId="09B19711" wp14:editId="6ED82091">
              <wp:simplePos x="635" y="635"/>
              <wp:positionH relativeFrom="page">
                <wp:align>left</wp:align>
              </wp:positionH>
              <wp:positionV relativeFrom="page">
                <wp:align>top</wp:align>
              </wp:positionV>
              <wp:extent cx="793750" cy="345440"/>
              <wp:effectExtent l="0" t="0" r="6350" b="16510"/>
              <wp:wrapNone/>
              <wp:docPr id="1613192946" name="Text Box 1" descr="Prote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93750" cy="345440"/>
                      </a:xfrm>
                      <a:prstGeom prst="rect">
                        <a:avLst/>
                      </a:prstGeom>
                      <a:noFill/>
                      <a:ln>
                        <a:noFill/>
                      </a:ln>
                    </wps:spPr>
                    <wps:txbx>
                      <w:txbxContent>
                        <w:p w14:paraId="38198C15" w14:textId="471FD09A" w:rsidR="00F14AB6" w:rsidRPr="00F14AB6" w:rsidRDefault="00F14AB6" w:rsidP="00F14AB6">
                          <w:pPr>
                            <w:rPr>
                              <w:rFonts w:ascii="Aptos" w:eastAsia="Aptos" w:hAnsi="Aptos" w:cs="Aptos"/>
                              <w:noProof/>
                              <w:color w:val="000000"/>
                              <w:sz w:val="20"/>
                              <w:szCs w:val="20"/>
                            </w:rPr>
                          </w:pPr>
                          <w:r w:rsidRPr="00F14AB6">
                            <w:rPr>
                              <w:rFonts w:ascii="Aptos" w:eastAsia="Aptos" w:hAnsi="Aptos" w:cs="Aptos"/>
                              <w:noProof/>
                              <w:color w:val="000000"/>
                              <w:sz w:val="20"/>
                              <w:szCs w:val="20"/>
                            </w:rPr>
                            <w:t>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9B19711" id="_x0000_t202" coordsize="21600,21600" o:spt="202" path="m,l,21600r21600,l21600,xe">
              <v:stroke joinstyle="miter"/>
              <v:path gradientshapeok="t" o:connecttype="rect"/>
            </v:shapetype>
            <v:shape id="Text Box 1" o:spid="_x0000_s1028" type="#_x0000_t202" alt="Protected" style="position:absolute;margin-left:0;margin-top:0;width:62.5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" filled="f" stroked="f">
              <v:textbox style="mso-fit-shape-to-text:t" inset="20pt,15pt,0,0">
                <w:txbxContent>
                  <w:p w14:paraId="38198C15" w14:textId="471FD09A" w:rsidR="00F14AB6" w:rsidRPr="00F14AB6" w:rsidRDefault="00F14AB6" w:rsidP="00F14AB6">
                    <w:pPr>
                      <w:rPr>
                        <w:rFonts w:ascii="Aptos" w:eastAsia="Aptos" w:hAnsi="Aptos" w:cs="Aptos"/>
                        <w:noProof/>
                        <w:color w:val="000000"/>
                        <w:sz w:val="20"/>
                        <w:szCs w:val="20"/>
                      </w:rPr>
                    </w:pPr>
                    <w:r w:rsidRPr="00F14AB6">
                      <w:rPr>
                        <w:rFonts w:ascii="Aptos" w:eastAsia="Aptos" w:hAnsi="Aptos" w:cs="Aptos"/>
                        <w:noProof/>
                        <w:color w:val="000000"/>
                        <w:sz w:val="20"/>
                        <w:szCs w:val="20"/>
                      </w:rPr>
                      <w:t>Protected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CB3121"/>
    <w:multiLevelType w:val="hybridMultilevel"/>
    <w:tmpl w:val="E174D14E"/>
    <w:lvl w:ilvl="0" w:tplc="2910C484">
      <w:start w:val="1"/>
      <w:numFmt w:val="bullet"/>
      <w:lvlText w:val="•"/>
      <w:lvlJc w:val="left"/>
      <w:pPr>
        <w:ind w:left="504" w:hanging="288"/>
      </w:pPr>
    </w:lvl>
    <w:lvl w:ilvl="1" w:tplc="B332F844">
      <w:numFmt w:val="decimal"/>
      <w:lvlText w:val=""/>
      <w:lvlJc w:val="left"/>
    </w:lvl>
    <w:lvl w:ilvl="2" w:tplc="07F82AEE">
      <w:numFmt w:val="decimal"/>
      <w:lvlText w:val=""/>
      <w:lvlJc w:val="left"/>
    </w:lvl>
    <w:lvl w:ilvl="3" w:tplc="660A0AB4">
      <w:numFmt w:val="decimal"/>
      <w:lvlText w:val=""/>
      <w:lvlJc w:val="left"/>
    </w:lvl>
    <w:lvl w:ilvl="4" w:tplc="08B69852">
      <w:numFmt w:val="decimal"/>
      <w:lvlText w:val=""/>
      <w:lvlJc w:val="left"/>
    </w:lvl>
    <w:lvl w:ilvl="5" w:tplc="0324C5EA">
      <w:numFmt w:val="decimal"/>
      <w:lvlText w:val=""/>
      <w:lvlJc w:val="left"/>
    </w:lvl>
    <w:lvl w:ilvl="6" w:tplc="255CAAE4">
      <w:numFmt w:val="decimal"/>
      <w:lvlText w:val=""/>
      <w:lvlJc w:val="left"/>
    </w:lvl>
    <w:lvl w:ilvl="7" w:tplc="759EC1D6">
      <w:numFmt w:val="decimal"/>
      <w:lvlText w:val=""/>
      <w:lvlJc w:val="left"/>
    </w:lvl>
    <w:lvl w:ilvl="8" w:tplc="B798E480">
      <w:numFmt w:val="decimal"/>
      <w:lvlText w:val=""/>
      <w:lvlJc w:val="left"/>
    </w:lvl>
  </w:abstractNum>
  <w:abstractNum w:abstractNumId="1" w15:restartNumberingAfterBreak="0">
    <w:nsid w:val="480F3D76"/>
    <w:multiLevelType w:val="hybridMultilevel"/>
    <w:tmpl w:val="0C14AAA0"/>
    <w:lvl w:ilvl="0" w:tplc="25D25D7A">
      <w:start w:val="1"/>
      <w:numFmt w:val="bullet"/>
      <w:lvlText w:val="●"/>
      <w:lvlJc w:val="left"/>
      <w:pPr>
        <w:ind w:left="720" w:hanging="360"/>
      </w:pPr>
    </w:lvl>
    <w:lvl w:ilvl="1" w:tplc="8A043510">
      <w:start w:val="1"/>
      <w:numFmt w:val="bullet"/>
      <w:lvlText w:val="○"/>
      <w:lvlJc w:val="left"/>
      <w:pPr>
        <w:ind w:left="1440" w:hanging="360"/>
      </w:pPr>
    </w:lvl>
    <w:lvl w:ilvl="2" w:tplc="09CE6F38">
      <w:start w:val="1"/>
      <w:numFmt w:val="bullet"/>
      <w:lvlText w:val="■"/>
      <w:lvlJc w:val="left"/>
      <w:pPr>
        <w:ind w:left="2160" w:hanging="360"/>
      </w:pPr>
    </w:lvl>
    <w:lvl w:ilvl="3" w:tplc="48BCBFF0">
      <w:start w:val="1"/>
      <w:numFmt w:val="bullet"/>
      <w:lvlText w:val="●"/>
      <w:lvlJc w:val="left"/>
      <w:pPr>
        <w:ind w:left="2880" w:hanging="360"/>
      </w:pPr>
    </w:lvl>
    <w:lvl w:ilvl="4" w:tplc="05862D66">
      <w:start w:val="1"/>
      <w:numFmt w:val="bullet"/>
      <w:lvlText w:val="○"/>
      <w:lvlJc w:val="left"/>
      <w:pPr>
        <w:ind w:left="3600" w:hanging="360"/>
      </w:pPr>
    </w:lvl>
    <w:lvl w:ilvl="5" w:tplc="29261398">
      <w:start w:val="1"/>
      <w:numFmt w:val="bullet"/>
      <w:lvlText w:val="■"/>
      <w:lvlJc w:val="left"/>
      <w:pPr>
        <w:ind w:left="4320" w:hanging="360"/>
      </w:pPr>
    </w:lvl>
    <w:lvl w:ilvl="6" w:tplc="11E6F9DE">
      <w:start w:val="1"/>
      <w:numFmt w:val="bullet"/>
      <w:lvlText w:val="●"/>
      <w:lvlJc w:val="left"/>
      <w:pPr>
        <w:ind w:left="5040" w:hanging="360"/>
      </w:pPr>
    </w:lvl>
    <w:lvl w:ilvl="7" w:tplc="4C1E7BDC">
      <w:start w:val="1"/>
      <w:numFmt w:val="bullet"/>
      <w:lvlText w:val="●"/>
      <w:lvlJc w:val="left"/>
      <w:pPr>
        <w:ind w:left="5760" w:hanging="360"/>
      </w:pPr>
    </w:lvl>
    <w:lvl w:ilvl="8" w:tplc="1336617C">
      <w:start w:val="1"/>
      <w:numFmt w:val="bullet"/>
      <w:lvlText w:val="●"/>
      <w:lvlJc w:val="left"/>
      <w:pPr>
        <w:ind w:left="6480" w:hanging="360"/>
      </w:pPr>
    </w:lvl>
  </w:abstractNum>
  <w:num w:numId="1" w16cid:durableId="67580762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59D"/>
    <w:rsid w:val="00147874"/>
    <w:rsid w:val="0019658E"/>
    <w:rsid w:val="001C059D"/>
    <w:rsid w:val="003546FF"/>
    <w:rsid w:val="005A14CF"/>
    <w:rsid w:val="00601557"/>
    <w:rsid w:val="00721AD2"/>
    <w:rsid w:val="007330E9"/>
    <w:rsid w:val="007577EC"/>
    <w:rsid w:val="00837409"/>
    <w:rsid w:val="008453BC"/>
    <w:rsid w:val="00D27EB9"/>
    <w:rsid w:val="00E47AE5"/>
    <w:rsid w:val="00F14A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5DE9F"/>
  <w15:docId w15:val="{13D14D2B-4224-4612-943F-36B6B1660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147874"/>
    <w:rPr>
      <w:color w:val="605E5C"/>
      <w:shd w:val="clear" w:color="auto" w:fill="E1DFDD"/>
    </w:rPr>
  </w:style>
  <w:style w:type="paragraph" w:styleId="BodyText">
    <w:name w:val="Body Text"/>
    <w:basedOn w:val="Normal"/>
    <w:link w:val="BodyTextChar"/>
    <w:rsid w:val="008453BC"/>
    <w:pPr>
      <w:suppressAutoHyphens/>
    </w:pPr>
    <w:rPr>
      <w:rFonts w:ascii="CG Times" w:eastAsia="Times New Roman" w:hAnsi="CG Times" w:cs="Times New Roman"/>
      <w:spacing w:val="-2"/>
      <w:sz w:val="24"/>
      <w:szCs w:val="20"/>
    </w:rPr>
  </w:style>
  <w:style w:type="character" w:customStyle="1" w:styleId="BodyTextChar">
    <w:name w:val="Body Text Char"/>
    <w:basedOn w:val="DefaultParagraphFont"/>
    <w:link w:val="BodyText"/>
    <w:rsid w:val="008453BC"/>
    <w:rPr>
      <w:rFonts w:ascii="CG Times" w:eastAsia="Times New Roman" w:hAnsi="CG Times" w:cs="Times New Roman"/>
      <w:spacing w:val="-2"/>
      <w:sz w:val="24"/>
      <w:szCs w:val="20"/>
    </w:rPr>
  </w:style>
  <w:style w:type="paragraph" w:customStyle="1" w:styleId="Heading1a">
    <w:name w:val="Heading 1a"/>
    <w:rsid w:val="008453BC"/>
    <w:pPr>
      <w:keepNext/>
      <w:keepLines/>
      <w:tabs>
        <w:tab w:val="left" w:pos="-720"/>
      </w:tabs>
      <w:suppressAutoHyphens/>
      <w:jc w:val="center"/>
    </w:pPr>
    <w:rPr>
      <w:rFonts w:ascii="Times New Roman" w:eastAsia="Times New Roman" w:hAnsi="Times New Roman" w:cs="Times New Roman"/>
      <w:b/>
      <w:smallCaps/>
      <w:sz w:val="32"/>
      <w:szCs w:val="20"/>
    </w:rPr>
  </w:style>
  <w:style w:type="paragraph" w:styleId="Header">
    <w:name w:val="header"/>
    <w:basedOn w:val="Normal"/>
    <w:link w:val="HeaderChar"/>
    <w:uiPriority w:val="99"/>
    <w:unhideWhenUsed/>
    <w:rsid w:val="00F14AB6"/>
    <w:pPr>
      <w:tabs>
        <w:tab w:val="center" w:pos="4680"/>
        <w:tab w:val="right" w:pos="9360"/>
      </w:tabs>
    </w:pPr>
  </w:style>
  <w:style w:type="character" w:customStyle="1" w:styleId="HeaderChar">
    <w:name w:val="Header Char"/>
    <w:basedOn w:val="DefaultParagraphFont"/>
    <w:link w:val="Header"/>
    <w:uiPriority w:val="99"/>
    <w:rsid w:val="00F14AB6"/>
  </w:style>
  <w:style w:type="paragraph" w:styleId="Revision">
    <w:name w:val="Revision"/>
    <w:hidden/>
    <w:uiPriority w:val="99"/>
    <w:semiHidden/>
    <w:rsid w:val="006015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p.isdbi@isdb.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isdb.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349</Words>
  <Characters>1991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Mehmet Fehmi Eken</cp:lastModifiedBy>
  <cp:revision>5</cp:revision>
  <dcterms:created xsi:type="dcterms:W3CDTF">2026-09-27T09:13:00Z</dcterms:created>
  <dcterms:modified xsi:type="dcterms:W3CDTF">2026-09-30T12:04:00Z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60275ef2,15d90fe,73083faa</vt:lpwstr>
  </property>
  <property fmtid="{D5CDD505-2E9C-101B-9397-08002B2CF9AE}" pid="3" name="ClassificationContentMarkingHeaderFontProps">
    <vt:lpwstr>#000000,10,Aptos</vt:lpwstr>
  </property>
  <property fmtid="{D5CDD505-2E9C-101B-9397-08002B2CF9AE}" pid="4" name="ClassificationContentMarkingHeaderText">
    <vt:lpwstr>Protected</vt:lpwstr>
  </property>
  <property fmtid="{D5CDD505-2E9C-101B-9397-08002B2CF9AE}" pid="5" name="MSIP_Label_9ef4adf7-25a7-4f52-a61a-df7190f1d881_Enabled">
    <vt:lpwstr>true</vt:lpwstr>
  </property>
  <property fmtid="{D5CDD505-2E9C-101B-9397-08002B2CF9AE}" pid="6" name="MSIP_Label_9ef4adf7-25a7-4f52-a61a-df7190f1d881_SetDate">
    <vt:lpwstr>2026-09-27T09:13:04Z</vt:lpwstr>
  </property>
  <property fmtid="{D5CDD505-2E9C-101B-9397-08002B2CF9AE}" pid="7" name="MSIP_Label_9ef4adf7-25a7-4f52-a61a-df7190f1d881_Method">
    <vt:lpwstr>Standard</vt:lpwstr>
  </property>
  <property fmtid="{D5CDD505-2E9C-101B-9397-08002B2CF9AE}" pid="8" name="MSIP_Label_9ef4adf7-25a7-4f52-a61a-df7190f1d881_Name">
    <vt:lpwstr>Category C - Protected</vt:lpwstr>
  </property>
  <property fmtid="{D5CDD505-2E9C-101B-9397-08002B2CF9AE}" pid="9" name="MSIP_Label_9ef4adf7-25a7-4f52-a61a-df7190f1d881_SiteId">
    <vt:lpwstr>8fa69c26-409d-43e5-973c-17a8be1a7f35</vt:lpwstr>
  </property>
  <property fmtid="{D5CDD505-2E9C-101B-9397-08002B2CF9AE}" pid="10" name="MSIP_Label_9ef4adf7-25a7-4f52-a61a-df7190f1d881_ActionId">
    <vt:lpwstr>7ee5ab65-1c42-4b31-8787-18692a237049</vt:lpwstr>
  </property>
  <property fmtid="{D5CDD505-2E9C-101B-9397-08002B2CF9AE}" pid="11" name="MSIP_Label_9ef4adf7-25a7-4f52-a61a-df7190f1d881_ContentBits">
    <vt:lpwstr>1</vt:lpwstr>
  </property>
  <property fmtid="{D5CDD505-2E9C-101B-9397-08002B2CF9AE}" pid="12" name="MSIP_Label_9ef4adf7-25a7-4f52-a61a-df7190f1d881_Tag">
    <vt:lpwstr>10, 3, 0, 1</vt:lpwstr>
  </property>
</Properties>
</file>