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AF405"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THE REPUBLIC OF UZBEKISTAN</w:t>
      </w:r>
    </w:p>
    <w:p w14:paraId="38F044B3"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ISLAMIC DEVELOPMENT BANK</w:t>
      </w:r>
    </w:p>
    <w:p w14:paraId="74885B8B"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STRENGTHENING OF ECONOMIC RESILIENCE OF VULNERABLE ENTERPRISES (SERVE)</w:t>
      </w:r>
    </w:p>
    <w:p w14:paraId="2E2CDF81"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(UZB-1037)</w:t>
      </w:r>
    </w:p>
    <w:p w14:paraId="0A872305"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COMPONENT B. BUSINESS ENGINEERING AND CAPACITY BUILDING</w:t>
      </w:r>
    </w:p>
    <w:p w14:paraId="7D573168"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TERMS OF REFERENCE</w:t>
      </w:r>
    </w:p>
    <w:p w14:paraId="150F64A3"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for the </w:t>
      </w:r>
    </w:p>
    <w:p w14:paraId="0A946C74" w14:textId="77777777" w:rsidR="00781030" w:rsidRDefault="00B478F0">
      <w:pPr>
        <w:pStyle w:val="a5"/>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CONSULTING COMPANY TO DEVELOP </w:t>
      </w:r>
      <w:r>
        <w:rPr>
          <w:rFonts w:ascii="Times New Roman" w:hAnsi="Times New Roman" w:cs="Times New Roman"/>
          <w:b/>
          <w:sz w:val="24"/>
          <w:szCs w:val="24"/>
          <w:lang w:val="en-US"/>
        </w:rPr>
        <w:t>BUSINESS ENGINEERING MODELS AND CAPACITY BUILDING (B.E.T.)</w:t>
      </w:r>
    </w:p>
    <w:p w14:paraId="7B114A32" w14:textId="77777777" w:rsidR="00781030" w:rsidRDefault="00B478F0">
      <w:pPr>
        <w:pStyle w:val="a5"/>
        <w:tabs>
          <w:tab w:val="left" w:pos="2952"/>
          <w:tab w:val="center" w:pos="4680"/>
        </w:tabs>
        <w:spacing w:line="240" w:lineRule="auto"/>
        <w:jc w:val="center"/>
        <w:rPr>
          <w:rFonts w:ascii="Times New Roman" w:hAnsi="Times New Roman"/>
          <w:b/>
          <w:bCs/>
          <w:sz w:val="26"/>
          <w:szCs w:val="26"/>
        </w:rPr>
      </w:pPr>
      <w:r>
        <w:rPr>
          <w:rFonts w:ascii="Times New Roman" w:hAnsi="Times New Roman"/>
          <w:b/>
          <w:bCs/>
          <w:sz w:val="26"/>
          <w:szCs w:val="26"/>
          <w:lang w:val="uz-Cyrl-UZ"/>
        </w:rPr>
        <w:t>Contract</w:t>
      </w:r>
      <w:r>
        <w:rPr>
          <w:rFonts w:ascii="Times New Roman" w:hAnsi="Times New Roman"/>
          <w:b/>
          <w:bCs/>
          <w:sz w:val="26"/>
          <w:szCs w:val="26"/>
          <w:lang w:val="en-US"/>
        </w:rPr>
        <w:t xml:space="preserve"> </w:t>
      </w:r>
      <w:r>
        <w:rPr>
          <w:rFonts w:ascii="Times New Roman" w:hAnsi="Times New Roman"/>
          <w:b/>
          <w:bCs/>
          <w:sz w:val="26"/>
          <w:szCs w:val="26"/>
          <w:lang w:val="uz-Cyrl-UZ"/>
        </w:rPr>
        <w:t>№</w:t>
      </w:r>
      <w:r>
        <w:rPr>
          <w:rFonts w:ascii="Times New Roman" w:hAnsi="Times New Roman"/>
          <w:b/>
          <w:bCs/>
          <w:sz w:val="26"/>
          <w:szCs w:val="26"/>
        </w:rPr>
        <w:t>SERVE/QCBS/BET-01</w:t>
      </w:r>
    </w:p>
    <w:p w14:paraId="615858DF" w14:textId="77777777" w:rsidR="00781030" w:rsidRDefault="00781030">
      <w:pPr>
        <w:pStyle w:val="a5"/>
        <w:tabs>
          <w:tab w:val="left" w:pos="2952"/>
          <w:tab w:val="center" w:pos="4680"/>
        </w:tabs>
        <w:spacing w:line="240" w:lineRule="auto"/>
        <w:jc w:val="center"/>
        <w:rPr>
          <w:rFonts w:ascii="Times New Roman" w:hAnsi="Times New Roman" w:cs="Times New Roman"/>
          <w:b/>
          <w:sz w:val="24"/>
          <w:szCs w:val="24"/>
          <w:lang w:val="en-US" w:eastAsia="en-US"/>
        </w:rPr>
      </w:pPr>
    </w:p>
    <w:p w14:paraId="155654D5"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Project Overview</w:t>
      </w:r>
    </w:p>
    <w:p w14:paraId="2C011F7C" w14:textId="77777777" w:rsidR="00781030" w:rsidRDefault="00B478F0">
      <w:pPr>
        <w:spacing w:after="120" w:line="240" w:lineRule="auto"/>
        <w:jc w:val="both"/>
        <w:rPr>
          <w:rFonts w:ascii="Times New Roman" w:hAnsi="Times New Roman" w:cs="Times New Roman"/>
          <w:sz w:val="24"/>
          <w:szCs w:val="24"/>
          <w:lang w:val="uz-Cyrl-UZ"/>
        </w:rPr>
      </w:pPr>
      <w:r>
        <w:rPr>
          <w:rFonts w:ascii="Times New Roman" w:hAnsi="Times New Roman" w:cs="Times New Roman"/>
          <w:sz w:val="24"/>
          <w:szCs w:val="24"/>
          <w:lang w:val="en-US"/>
        </w:rPr>
        <w:t>The Islamic Development Bank (IsDB) acting on its own behalf and as the administrator of Islamic Solidarity Fund for Development (ISFD) has allocated f</w:t>
      </w:r>
      <w:r>
        <w:rPr>
          <w:rFonts w:ascii="Times New Roman" w:hAnsi="Times New Roman" w:cs="Times New Roman"/>
          <w:sz w:val="24"/>
          <w:szCs w:val="24"/>
          <w:lang w:val="en-US"/>
        </w:rPr>
        <w:t>inancing for the Project “Strengthening of Economic Resilience of Vulnerable Enterprises” (SERVE).</w:t>
      </w:r>
      <w:r>
        <w:rPr>
          <w:rFonts w:ascii="Times New Roman" w:hAnsi="Times New Roman" w:cs="Times New Roman"/>
          <w:sz w:val="24"/>
          <w:szCs w:val="24"/>
          <w:lang w:val="uz-Cyrl-UZ"/>
        </w:rPr>
        <w:t xml:space="preserve"> The Republic of Uzbekistan has received financing from IsDB and ISFD toward the cost of the SERVE Project.</w:t>
      </w:r>
    </w:p>
    <w:p w14:paraId="4221A30D"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Project is designed to provide priority suppor</w:t>
      </w:r>
      <w:r>
        <w:rPr>
          <w:rFonts w:ascii="Times New Roman" w:hAnsi="Times New Roman" w:cs="Times New Roman"/>
          <w:sz w:val="24"/>
          <w:szCs w:val="24"/>
          <w:lang w:val="en-US"/>
        </w:rPr>
        <w:t xml:space="preserve">t to Micro, Small and Medium-sized Enterprises (MSMEs) by extending Sharia compliant access to finance to the targeted MSMEs and related capacity building in Islamic finance and economic empowerment. The primary focus will be on supporting affected MSMEs, </w:t>
      </w:r>
      <w:r>
        <w:rPr>
          <w:rFonts w:ascii="Times New Roman" w:hAnsi="Times New Roman" w:cs="Times New Roman"/>
          <w:sz w:val="24"/>
          <w:szCs w:val="24"/>
          <w:lang w:val="en-US"/>
        </w:rPr>
        <w:t>smallholder producers, women and youth engaged in economic activities in the targeted regions.</w:t>
      </w:r>
    </w:p>
    <w:p w14:paraId="1F78FCBF"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Project is a joint effort of the Islamic Development Bank and Islamic Solidarity Fund for Development, to provide development support to the Government of Uz</w:t>
      </w:r>
      <w:r>
        <w:rPr>
          <w:rFonts w:ascii="Times New Roman" w:hAnsi="Times New Roman" w:cs="Times New Roman"/>
          <w:sz w:val="24"/>
          <w:szCs w:val="24"/>
          <w:lang w:val="en-US"/>
        </w:rPr>
        <w:t xml:space="preserve">bekistan in supporting vulnerable enterprises. </w:t>
      </w:r>
    </w:p>
    <w:p w14:paraId="7F84E8C0" w14:textId="77777777" w:rsidR="00781030" w:rsidRDefault="00781030">
      <w:pPr>
        <w:spacing w:after="120" w:line="240" w:lineRule="auto"/>
        <w:jc w:val="both"/>
        <w:rPr>
          <w:rFonts w:ascii="Times New Roman" w:hAnsi="Times New Roman" w:cs="Times New Roman"/>
          <w:sz w:val="24"/>
          <w:szCs w:val="24"/>
          <w:lang w:val="en-US"/>
        </w:rPr>
      </w:pPr>
    </w:p>
    <w:p w14:paraId="28E204E3"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 xml:space="preserve">Scope and objective of the Project </w:t>
      </w:r>
    </w:p>
    <w:p w14:paraId="01E24B1D"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Project will support enterprises in targeted regions by providing an integrated economic empowerment package that will enable access to economic opportunities, allow them to recover from vulnerability and sustain inclusive growth of the individual entr</w:t>
      </w:r>
      <w:r>
        <w:rPr>
          <w:rFonts w:ascii="Times New Roman" w:hAnsi="Times New Roman" w:cs="Times New Roman"/>
          <w:sz w:val="24"/>
          <w:szCs w:val="24"/>
          <w:lang w:val="en-US"/>
        </w:rPr>
        <w:t xml:space="preserve">epreneurs and MSMEs. The Project will be primarily implemented in the following target regions: </w:t>
      </w:r>
      <w:proofErr w:type="spellStart"/>
      <w:r>
        <w:rPr>
          <w:rFonts w:ascii="Times New Roman" w:hAnsi="Times New Roman" w:cs="Times New Roman"/>
          <w:sz w:val="24"/>
          <w:szCs w:val="24"/>
          <w:lang w:val="en-US"/>
        </w:rPr>
        <w:t>Karakalpakstan</w:t>
      </w:r>
      <w:proofErr w:type="spellEnd"/>
      <w:r>
        <w:rPr>
          <w:rFonts w:ascii="Times New Roman" w:hAnsi="Times New Roman" w:cs="Times New Roman"/>
          <w:sz w:val="24"/>
          <w:szCs w:val="24"/>
          <w:lang w:val="en-US"/>
        </w:rPr>
        <w:t xml:space="preserve"> AR, </w:t>
      </w:r>
      <w:proofErr w:type="spellStart"/>
      <w:r>
        <w:rPr>
          <w:rFonts w:ascii="Times New Roman" w:hAnsi="Times New Roman" w:cs="Times New Roman"/>
          <w:sz w:val="24"/>
          <w:szCs w:val="24"/>
          <w:lang w:val="en-US"/>
        </w:rPr>
        <w:t>Khorezm</w:t>
      </w:r>
      <w:proofErr w:type="spellEnd"/>
      <w:r>
        <w:rPr>
          <w:rFonts w:ascii="Times New Roman" w:hAnsi="Times New Roman" w:cs="Times New Roman"/>
          <w:sz w:val="24"/>
          <w:szCs w:val="24"/>
          <w:lang w:val="en-US"/>
        </w:rPr>
        <w:t xml:space="preserve">, Bukhara, </w:t>
      </w:r>
      <w:proofErr w:type="spellStart"/>
      <w:r>
        <w:rPr>
          <w:rFonts w:ascii="Times New Roman" w:hAnsi="Times New Roman" w:cs="Times New Roman"/>
          <w:sz w:val="24"/>
          <w:szCs w:val="24"/>
          <w:lang w:val="en-US"/>
        </w:rPr>
        <w:t>Navoiy</w:t>
      </w:r>
      <w:proofErr w:type="spellEnd"/>
      <w:r>
        <w:rPr>
          <w:rFonts w:ascii="Times New Roman" w:hAnsi="Times New Roman" w:cs="Times New Roman"/>
          <w:sz w:val="24"/>
          <w:szCs w:val="24"/>
          <w:lang w:val="en-US"/>
        </w:rPr>
        <w:t xml:space="preserve">, Samarkand, </w:t>
      </w:r>
      <w:proofErr w:type="spellStart"/>
      <w:r>
        <w:rPr>
          <w:rFonts w:ascii="Times New Roman" w:hAnsi="Times New Roman" w:cs="Times New Roman"/>
          <w:sz w:val="24"/>
          <w:szCs w:val="24"/>
          <w:lang w:val="en-US"/>
        </w:rPr>
        <w:t>Kashkadarya</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Surkhandarya</w:t>
      </w:r>
      <w:proofErr w:type="spellEnd"/>
      <w:r>
        <w:rPr>
          <w:rFonts w:ascii="Times New Roman" w:hAnsi="Times New Roman" w:cs="Times New Roman"/>
          <w:sz w:val="24"/>
          <w:szCs w:val="24"/>
          <w:lang w:val="en-US"/>
        </w:rPr>
        <w:t xml:space="preserve"> regions. </w:t>
      </w:r>
    </w:p>
    <w:p w14:paraId="6168586C"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main focus of the Project is to enhance access to finance for</w:t>
      </w:r>
      <w:r>
        <w:rPr>
          <w:rFonts w:ascii="Times New Roman" w:hAnsi="Times New Roman" w:cs="Times New Roman"/>
          <w:sz w:val="24"/>
          <w:szCs w:val="24"/>
          <w:lang w:val="en-US"/>
        </w:rPr>
        <w:t xml:space="preserve"> Micro, Small, and Medium Enterprises (MSMEs). This will be achieved by providing a line of financing (LOF) through a selected Partner Financial Institution (PFI). Currently, the Business Development Bank (BDB) has been chosen to facilitate this process. T</w:t>
      </w:r>
      <w:r>
        <w:rPr>
          <w:rFonts w:ascii="Times New Roman" w:hAnsi="Times New Roman" w:cs="Times New Roman"/>
          <w:sz w:val="24"/>
          <w:szCs w:val="24"/>
          <w:lang w:val="en-US"/>
        </w:rPr>
        <w:t>he operations will comply with Islamic Sharia law under an agency agreement using instalment financing. Additionally, the Entrepreneurship Development Company (EDC) will offer a separate financial instrument in the form of a guarantee facility, specificall</w:t>
      </w:r>
      <w:r>
        <w:rPr>
          <w:rFonts w:ascii="Times New Roman" w:hAnsi="Times New Roman" w:cs="Times New Roman"/>
          <w:sz w:val="24"/>
          <w:szCs w:val="24"/>
          <w:lang w:val="en-US"/>
        </w:rPr>
        <w:t>y aimed at supporting micro and small enterprises to improve their access to finance.</w:t>
      </w:r>
    </w:p>
    <w:p w14:paraId="7B150C9D"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Project will also include consulting services that focus on the following key areas: (a) assisting MSMEs in business planning for value chain development; (b) providi</w:t>
      </w:r>
      <w:r>
        <w:rPr>
          <w:rFonts w:ascii="Times New Roman" w:hAnsi="Times New Roman" w:cs="Times New Roman"/>
          <w:sz w:val="24"/>
          <w:szCs w:val="24"/>
          <w:lang w:val="en-US"/>
        </w:rPr>
        <w:t>ng capacity building to the Business Development Bank (BDB) and Entrepreneurship Development Company (EDC) by helping them develop effective working tools and services targeted at women and youth, including appropriate financing solutions and targeted capa</w:t>
      </w:r>
      <w:r>
        <w:rPr>
          <w:rFonts w:ascii="Times New Roman" w:hAnsi="Times New Roman" w:cs="Times New Roman"/>
          <w:sz w:val="24"/>
          <w:szCs w:val="24"/>
          <w:lang w:val="en-US"/>
        </w:rPr>
        <w:t>city building; and (c) supporting the design and implementation of non-financial support to MSMEs through Business Development Services (BDS) under the Project.</w:t>
      </w:r>
      <w:r>
        <w:rPr>
          <w:rFonts w:ascii="Times New Roman" w:hAnsi="Times New Roman" w:cs="Times New Roman"/>
          <w:sz w:val="24"/>
          <w:szCs w:val="24"/>
          <w:lang w:val="uz-Cyrl-UZ"/>
        </w:rPr>
        <w:t xml:space="preserve"> </w:t>
      </w:r>
      <w:r>
        <w:rPr>
          <w:rFonts w:ascii="Times New Roman" w:hAnsi="Times New Roman" w:cs="Times New Roman"/>
          <w:sz w:val="24"/>
          <w:szCs w:val="24"/>
          <w:lang w:val="en-US"/>
        </w:rPr>
        <w:t>The key project results (a) 4,500 entrepreneurs benefited from sharia compliant financing, with</w:t>
      </w:r>
      <w:r>
        <w:rPr>
          <w:rFonts w:ascii="Times New Roman" w:hAnsi="Times New Roman" w:cs="Times New Roman"/>
          <w:sz w:val="24"/>
          <w:szCs w:val="24"/>
          <w:lang w:val="en-US"/>
        </w:rPr>
        <w:t xml:space="preserve"> at least 30%women and 30% youths; (b) 18,000 people employed and/or maintain their jobs; (c) At least 2,000 entrepreneurs directly trained on various business skills, including at least 30% women and 30% youths; (d) 100 staff of partner financial institut</w:t>
      </w:r>
      <w:r>
        <w:rPr>
          <w:rFonts w:ascii="Times New Roman" w:hAnsi="Times New Roman" w:cs="Times New Roman"/>
          <w:sz w:val="24"/>
          <w:szCs w:val="24"/>
          <w:lang w:val="en-US"/>
        </w:rPr>
        <w:t>ions (PFI) and Ministry of Economy and Finance (MEF or Executing Agency- EA) trained on sharia compliant products and financing</w:t>
      </w:r>
      <w:r>
        <w:rPr>
          <w:rStyle w:val="af1"/>
          <w:rFonts w:cs="Times New Roman"/>
          <w:szCs w:val="24"/>
          <w:lang w:val="en-US"/>
        </w:rPr>
        <w:footnoteReference w:id="1"/>
      </w:r>
      <w:r>
        <w:rPr>
          <w:rFonts w:ascii="Times New Roman" w:hAnsi="Times New Roman" w:cs="Times New Roman"/>
          <w:sz w:val="24"/>
          <w:szCs w:val="24"/>
          <w:lang w:val="en-US"/>
        </w:rPr>
        <w:t xml:space="preserve">. </w:t>
      </w:r>
    </w:p>
    <w:p w14:paraId="7191CAA9" w14:textId="77777777" w:rsidR="00781030" w:rsidRDefault="00781030">
      <w:pPr>
        <w:pStyle w:val="afa"/>
        <w:spacing w:after="120" w:line="240" w:lineRule="auto"/>
        <w:ind w:left="2880"/>
        <w:contextualSpacing w:val="0"/>
        <w:rPr>
          <w:rFonts w:ascii="Times New Roman" w:eastAsiaTheme="minorEastAsia" w:hAnsi="Times New Roman" w:cs="Times New Roman"/>
          <w:sz w:val="24"/>
          <w:szCs w:val="24"/>
          <w:lang w:val="en-US"/>
        </w:rPr>
      </w:pPr>
    </w:p>
    <w:p w14:paraId="01189754"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 xml:space="preserve">Objective of the Consultancy Assignment </w:t>
      </w:r>
    </w:p>
    <w:p w14:paraId="27723494" w14:textId="12EC0415"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bookmarkStart w:id="0" w:name="_Hlk192244888"/>
      <w:r>
        <w:rPr>
          <w:rFonts w:ascii="Times New Roman" w:hAnsi="Times New Roman" w:cs="Times New Roman"/>
          <w:sz w:val="24"/>
          <w:szCs w:val="24"/>
          <w:lang w:val="en-US"/>
        </w:rPr>
        <w:t>The objective of appointing the Consulting Company is to support the Executing Agency in promoting the Economic Empowerment approach (as outlined in Annex 1) and Islamic finance by developing practical recovery solutions for 10 selected vulnerable business</w:t>
      </w:r>
      <w:r>
        <w:rPr>
          <w:rFonts w:ascii="Times New Roman" w:hAnsi="Times New Roman" w:cs="Times New Roman"/>
          <w:sz w:val="24"/>
          <w:szCs w:val="24"/>
          <w:lang w:val="en-US"/>
        </w:rPr>
        <w:t xml:space="preserve"> activities and at least 30 profitable business models for women, including women who intend to start a new business, designing targeted training programs, providing relevant tools and recommendations for partner financial institutions, and supporting </w:t>
      </w:r>
      <w:r>
        <w:rPr>
          <w:rFonts w:ascii="Times New Roman" w:hAnsi="Times New Roman" w:cs="Times New Roman"/>
          <w:sz w:val="24"/>
          <w:szCs w:val="24"/>
          <w:lang w:val="en-US"/>
        </w:rPr>
        <w:t>the initial implementation of Business Development Services (BDS).</w:t>
      </w:r>
    </w:p>
    <w:bookmarkEnd w:id="0"/>
    <w:p w14:paraId="6357DB0B"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Scope of the Consultancy Assignment</w:t>
      </w:r>
    </w:p>
    <w:p w14:paraId="3C7B3310" w14:textId="12800F87" w:rsidR="00781030" w:rsidRDefault="00B478F0">
      <w:pPr>
        <w:spacing w:after="120" w:line="240" w:lineRule="auto"/>
        <w:jc w:val="both"/>
        <w:rPr>
          <w:rFonts w:ascii="Times New Roman" w:hAnsi="Times New Roman" w:cs="Times New Roman"/>
          <w:sz w:val="24"/>
          <w:szCs w:val="24"/>
          <w:highlight w:val="yellow"/>
          <w:lang w:val="en-US" w:eastAsia="en-US"/>
        </w:rPr>
      </w:pPr>
      <w:r>
        <w:rPr>
          <w:rFonts w:ascii="Times New Roman" w:hAnsi="Times New Roman" w:cs="Times New Roman"/>
          <w:sz w:val="24"/>
          <w:szCs w:val="24"/>
          <w:lang w:val="en-US" w:eastAsia="en-US"/>
        </w:rPr>
        <w:t>The project will recruit</w:t>
      </w:r>
      <w:r>
        <w:rPr>
          <w:rFonts w:ascii="Times New Roman" w:hAnsi="Times New Roman" w:cs="Times New Roman"/>
          <w:sz w:val="24"/>
          <w:szCs w:val="24"/>
          <w:lang w:val="en-US" w:eastAsia="en-US"/>
        </w:rPr>
        <w:t xml:space="preserve"> a qualified consulting team with appropriate expertise in MSME business development. The Consulting Company may mobilize interna</w:t>
      </w:r>
      <w:r>
        <w:rPr>
          <w:rFonts w:ascii="Times New Roman" w:hAnsi="Times New Roman" w:cs="Times New Roman"/>
          <w:sz w:val="24"/>
          <w:szCs w:val="24"/>
          <w:lang w:val="en-US" w:eastAsia="en-US"/>
        </w:rPr>
        <w:t xml:space="preserve">tional and national experts, as appropriate, based on its proposed methodology, work plan and understanding of the </w:t>
      </w:r>
      <w:proofErr w:type="gramStart"/>
      <w:r>
        <w:rPr>
          <w:rFonts w:ascii="Times New Roman" w:hAnsi="Times New Roman" w:cs="Times New Roman"/>
          <w:sz w:val="24"/>
          <w:szCs w:val="24"/>
          <w:lang w:val="en-US" w:eastAsia="en-US"/>
        </w:rPr>
        <w:t>assignment</w:t>
      </w:r>
      <w:r>
        <w:rPr>
          <w:rFonts w:ascii="Times New Roman" w:hAnsi="Times New Roman" w:cs="Times New Roman"/>
          <w:sz w:val="24"/>
          <w:szCs w:val="24"/>
          <w:lang w:val="en-US" w:eastAsia="en-US"/>
        </w:rPr>
        <w:t xml:space="preserve"> </w:t>
      </w:r>
      <w:r>
        <w:rPr>
          <w:rFonts w:ascii="Times New Roman" w:hAnsi="Times New Roman" w:cs="Times New Roman"/>
          <w:sz w:val="24"/>
          <w:szCs w:val="24"/>
          <w:lang w:val="en-US" w:eastAsia="en-US"/>
        </w:rPr>
        <w:t>.</w:t>
      </w:r>
      <w:proofErr w:type="gramEnd"/>
      <w:r>
        <w:rPr>
          <w:rFonts w:ascii="Times New Roman" w:hAnsi="Times New Roman" w:cs="Times New Roman"/>
          <w:sz w:val="24"/>
          <w:szCs w:val="24"/>
          <w:lang w:val="en-US" w:eastAsia="en-US"/>
        </w:rPr>
        <w:t xml:space="preserve"> The Consulting Company, acting as the </w:t>
      </w:r>
      <w:r>
        <w:rPr>
          <w:rFonts w:ascii="Times New Roman" w:hAnsi="Times New Roman" w:cs="Times New Roman"/>
          <w:sz w:val="24"/>
          <w:szCs w:val="24"/>
          <w:lang w:val="en-US" w:eastAsia="en-US"/>
        </w:rPr>
        <w:t>Business Engineering Team (B.E.T.), will mobilize specialized business consultants with experience in MSMEs, business planning, value chain development, and Islamic finance. The B.E.T. will work closely with the PMU and SME development department of the Ex</w:t>
      </w:r>
      <w:r>
        <w:rPr>
          <w:rFonts w:ascii="Times New Roman" w:hAnsi="Times New Roman" w:cs="Times New Roman"/>
          <w:sz w:val="24"/>
          <w:szCs w:val="24"/>
          <w:lang w:val="en-US" w:eastAsia="en-US"/>
        </w:rPr>
        <w:t xml:space="preserve">ecuting Agency and develop solutions that will link such services to meet the needs of vulnerable MSMEs and women wishing to start income-generating businesses. </w:t>
      </w:r>
    </w:p>
    <w:p w14:paraId="5D62CAEC" w14:textId="77777777" w:rsidR="00781030" w:rsidRDefault="00B478F0">
      <w:pPr>
        <w:spacing w:after="120" w:line="240"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The consultancy scope consists of the following:</w:t>
      </w:r>
    </w:p>
    <w:p w14:paraId="320F9EF8" w14:textId="77777777" w:rsidR="00781030" w:rsidRDefault="00B478F0">
      <w:pPr>
        <w:pStyle w:val="af7"/>
        <w:numPr>
          <w:ilvl w:val="0"/>
          <w:numId w:val="3"/>
        </w:numPr>
      </w:pPr>
      <w:r>
        <w:rPr>
          <w:rStyle w:val="af8"/>
        </w:rPr>
        <w:t xml:space="preserve">Developing recommendation package for </w:t>
      </w:r>
      <w:r>
        <w:rPr>
          <w:rStyle w:val="af8"/>
        </w:rPr>
        <w:t>Vulnerable MSMEs</w:t>
      </w:r>
      <w:r>
        <w:br/>
        <w:t>Identify vulnerable micro and small enterprises (as outlined in Annex 3) and develop tailored business development recommendations for 10 selected business activity types with strong recovery and growth potential.</w:t>
      </w:r>
    </w:p>
    <w:p w14:paraId="1C5264C4" w14:textId="77777777" w:rsidR="00781030" w:rsidRDefault="00B478F0">
      <w:pPr>
        <w:pStyle w:val="af7"/>
        <w:numPr>
          <w:ilvl w:val="0"/>
          <w:numId w:val="3"/>
        </w:numPr>
      </w:pPr>
      <w:r>
        <w:rPr>
          <w:rStyle w:val="af8"/>
        </w:rPr>
        <w:t>Development of Profitable</w:t>
      </w:r>
      <w:r>
        <w:rPr>
          <w:rStyle w:val="af8"/>
        </w:rPr>
        <w:t xml:space="preserve"> Business Models</w:t>
      </w:r>
      <w:r>
        <w:br/>
        <w:t xml:space="preserve">Conduct analytical research to identify and design at least 30 profitable, innovative, and non-redundant business models for women wishing to start new income-generating businesses. Each </w:t>
      </w:r>
      <w:r>
        <w:lastRenderedPageBreak/>
        <w:t>model should be supported by a clear value chain fra</w:t>
      </w:r>
      <w:r>
        <w:t>mework, in line with the criteria provided in Annex 2.</w:t>
      </w:r>
    </w:p>
    <w:p w14:paraId="1FF0706C" w14:textId="77777777" w:rsidR="00781030" w:rsidRDefault="00B478F0">
      <w:pPr>
        <w:pStyle w:val="af7"/>
        <w:numPr>
          <w:ilvl w:val="0"/>
          <w:numId w:val="3"/>
        </w:numPr>
      </w:pPr>
      <w:r>
        <w:rPr>
          <w:rStyle w:val="af8"/>
        </w:rPr>
        <w:t>Design Targeted Training Programs</w:t>
      </w:r>
      <w:r>
        <w:br/>
        <w:t>Develop comprehensive training programs for both target groups:</w:t>
      </w:r>
    </w:p>
    <w:p w14:paraId="6615A212" w14:textId="77777777" w:rsidR="00781030" w:rsidRDefault="00B478F0">
      <w:pPr>
        <w:pStyle w:val="af7"/>
      </w:pPr>
      <w:r>
        <w:t>- For the 10 selected vulnerable business activities: Develop train programs and practical guidance for</w:t>
      </w:r>
      <w:r>
        <w:t xml:space="preserve"> entrepreneurs on recovery and scale-up strategies.</w:t>
      </w:r>
    </w:p>
    <w:p w14:paraId="66F76746" w14:textId="77777777" w:rsidR="00781030" w:rsidRDefault="00B478F0">
      <w:pPr>
        <w:pStyle w:val="af7"/>
      </w:pPr>
      <w:r>
        <w:t>- For the 30 profitable business models: Develop, organize and find train programs for women to gain practical skills to start and run these businesses.</w:t>
      </w:r>
    </w:p>
    <w:p w14:paraId="3C41E75C" w14:textId="77777777" w:rsidR="00781030" w:rsidRDefault="00B478F0">
      <w:pPr>
        <w:pStyle w:val="af7"/>
        <w:numPr>
          <w:ilvl w:val="0"/>
          <w:numId w:val="3"/>
        </w:numPr>
      </w:pPr>
      <w:r>
        <w:rPr>
          <w:rStyle w:val="af8"/>
        </w:rPr>
        <w:t>Institutional Capacity Building for Partner Financi</w:t>
      </w:r>
      <w:r>
        <w:rPr>
          <w:rStyle w:val="af8"/>
        </w:rPr>
        <w:t>al Institutions (PFIs)</w:t>
      </w:r>
      <w:r>
        <w:br/>
        <w:t>Provide targeted technical assistance to the Business Development Bank (BDB) and the Entrepreneurship Development Company (EDC) to:</w:t>
      </w:r>
    </w:p>
    <w:p w14:paraId="475582B9" w14:textId="77777777" w:rsidR="00781030" w:rsidRDefault="00B478F0">
      <w:pPr>
        <w:pStyle w:val="af7"/>
      </w:pPr>
      <w:r>
        <w:t>- Develop practical financing tools and recommendations to support 10 selected vulnerable business ac</w:t>
      </w:r>
      <w:r>
        <w:t>tivities and 30 profitable business models for women.</w:t>
      </w:r>
    </w:p>
    <w:p w14:paraId="3684C5EE" w14:textId="77777777" w:rsidR="00781030" w:rsidRDefault="00B478F0">
      <w:pPr>
        <w:pStyle w:val="af7"/>
      </w:pPr>
      <w:r>
        <w:t>- Design and pilot Islamic financial instruments tailored to the business models identified in the project.</w:t>
      </w:r>
    </w:p>
    <w:p w14:paraId="1EAA0352" w14:textId="77777777" w:rsidR="00781030" w:rsidRDefault="00B478F0">
      <w:pPr>
        <w:pStyle w:val="af7"/>
        <w:numPr>
          <w:ilvl w:val="0"/>
          <w:numId w:val="3"/>
        </w:numPr>
      </w:pPr>
      <w:r>
        <w:rPr>
          <w:rStyle w:val="af8"/>
        </w:rPr>
        <w:t>Implementation of Business Development Services (BDS)</w:t>
      </w:r>
      <w:r>
        <w:br/>
        <w:t>Support the Executing Agency in designin</w:t>
      </w:r>
      <w:r>
        <w:t>g a sustainable BDS framework based on findings and tools developed under the previous components, including the use of suitable local training and BDS providers where appropriate.</w:t>
      </w:r>
    </w:p>
    <w:p w14:paraId="7B4E1BAE" w14:textId="77777777" w:rsidR="00781030" w:rsidRDefault="00B478F0">
      <w:pPr>
        <w:pStyle w:val="af7"/>
        <w:numPr>
          <w:ilvl w:val="0"/>
          <w:numId w:val="3"/>
        </w:numPr>
      </w:pPr>
      <w:r>
        <w:rPr>
          <w:b/>
          <w:bCs/>
        </w:rPr>
        <w:t>Mentorship and Supervision During BDS Delivery</w:t>
      </w:r>
    </w:p>
    <w:p w14:paraId="7E88D991" w14:textId="77777777" w:rsidR="00781030" w:rsidRDefault="00B478F0">
      <w:pPr>
        <w:pStyle w:val="af7"/>
        <w:numPr>
          <w:ilvl w:val="255"/>
          <w:numId w:val="0"/>
        </w:numPr>
      </w:pPr>
      <w:r>
        <w:t>Act as instructors during th</w:t>
      </w:r>
      <w:r>
        <w:t>e initial BDS implementation by:</w:t>
      </w:r>
    </w:p>
    <w:p w14:paraId="630F9D83" w14:textId="77777777" w:rsidR="00781030" w:rsidRDefault="00B478F0">
      <w:pPr>
        <w:pStyle w:val="af7"/>
        <w:numPr>
          <w:ilvl w:val="255"/>
          <w:numId w:val="0"/>
        </w:numPr>
      </w:pPr>
      <w:r>
        <w:t>- Coordinating and overseeing the correct delivery of BDS;</w:t>
      </w:r>
    </w:p>
    <w:p w14:paraId="691AA4F2" w14:textId="77777777" w:rsidR="00781030" w:rsidRDefault="00B478F0">
      <w:pPr>
        <w:pStyle w:val="af7"/>
        <w:numPr>
          <w:ilvl w:val="255"/>
          <w:numId w:val="0"/>
        </w:numPr>
      </w:pPr>
      <w:r>
        <w:t>- Providing practical guidance and supervision during service delivery;</w:t>
      </w:r>
    </w:p>
    <w:p w14:paraId="3E36C981" w14:textId="77777777" w:rsidR="00781030" w:rsidRDefault="00B478F0">
      <w:pPr>
        <w:pStyle w:val="af7"/>
        <w:numPr>
          <w:ilvl w:val="255"/>
          <w:numId w:val="0"/>
        </w:numPr>
      </w:pPr>
      <w:r>
        <w:t>- Monitoring the effectiveness and quality of services in real-time.</w:t>
      </w:r>
    </w:p>
    <w:p w14:paraId="56DD41CA" w14:textId="77777777" w:rsidR="00781030" w:rsidRDefault="00781030">
      <w:pPr>
        <w:pStyle w:val="af7"/>
      </w:pPr>
    </w:p>
    <w:p w14:paraId="0131B9C1"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Working Plan</w:t>
      </w:r>
    </w:p>
    <w:p w14:paraId="6BAFCCA5" w14:textId="77777777" w:rsidR="00781030" w:rsidRDefault="00B478F0">
      <w:pPr>
        <w:spacing w:after="120" w:line="240" w:lineRule="auto"/>
        <w:ind w:left="540" w:hanging="360"/>
        <w:jc w:val="both"/>
        <w:rPr>
          <w:rFonts w:ascii="Times New Roman" w:hAnsi="Times New Roman" w:cs="Times New Roman"/>
          <w:sz w:val="24"/>
          <w:szCs w:val="24"/>
          <w:lang w:val="en-US"/>
        </w:rPr>
      </w:pPr>
      <w:r>
        <w:rPr>
          <w:rFonts w:ascii="Times New Roman" w:hAnsi="Times New Roman" w:cs="Times New Roman"/>
          <w:sz w:val="24"/>
          <w:szCs w:val="24"/>
          <w:lang w:val="en-US" w:eastAsia="en-US"/>
        </w:rPr>
        <w:t>The Consu</w:t>
      </w:r>
      <w:r>
        <w:rPr>
          <w:rFonts w:ascii="Times New Roman" w:hAnsi="Times New Roman" w:cs="Times New Roman"/>
          <w:sz w:val="24"/>
          <w:szCs w:val="24"/>
          <w:lang w:val="en-US" w:eastAsia="en-US"/>
        </w:rPr>
        <w:t>lting company will elaborate a detailed work plan and secure approval from PMU/EA within 3 weeks of contracting</w:t>
      </w:r>
      <w:r>
        <w:rPr>
          <w:rFonts w:ascii="Times New Roman" w:hAnsi="Times New Roman" w:cs="Times New Roman"/>
          <w:sz w:val="24"/>
          <w:szCs w:val="24"/>
          <w:lang w:val="en-US"/>
        </w:rPr>
        <w:t>.</w:t>
      </w:r>
    </w:p>
    <w:p w14:paraId="524AC43C" w14:textId="77777777" w:rsidR="00781030" w:rsidRDefault="00781030">
      <w:pPr>
        <w:tabs>
          <w:tab w:val="left" w:pos="993"/>
        </w:tabs>
        <w:spacing w:after="120" w:line="240" w:lineRule="auto"/>
        <w:jc w:val="both"/>
        <w:rPr>
          <w:rFonts w:ascii="Times New Roman" w:hAnsi="Times New Roman" w:cs="Times New Roman"/>
          <w:sz w:val="24"/>
          <w:szCs w:val="24"/>
          <w:lang w:val="en-US"/>
        </w:rPr>
      </w:pPr>
    </w:p>
    <w:p w14:paraId="19572590"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 xml:space="preserve">Schedules of implementation </w:t>
      </w:r>
    </w:p>
    <w:p w14:paraId="3F48D124" w14:textId="55E06903" w:rsidR="00781030" w:rsidRDefault="00B478F0">
      <w:pPr>
        <w:tabs>
          <w:tab w:val="left" w:pos="284"/>
        </w:tabs>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implementation period is</w:t>
      </w:r>
      <w:r>
        <w:rPr>
          <w:rFonts w:ascii="Times New Roman" w:hAnsi="Times New Roman" w:cs="Times New Roman"/>
          <w:color w:val="FF0000"/>
          <w:sz w:val="24"/>
          <w:szCs w:val="24"/>
          <w:lang w:val="en-US"/>
        </w:rPr>
        <w:t xml:space="preserve"> </w:t>
      </w:r>
      <w:r>
        <w:rPr>
          <w:rFonts w:ascii="Times New Roman" w:hAnsi="Times New Roman" w:cs="Times New Roman"/>
          <w:color w:val="FF0000"/>
          <w:sz w:val="24"/>
          <w:szCs w:val="24"/>
          <w:lang w:val="en-US"/>
        </w:rPr>
        <w:t>expected to be</w:t>
      </w:r>
      <w:r>
        <w:rPr>
          <w:rFonts w:ascii="Times New Roman" w:hAnsi="Times New Roman" w:cs="Times New Roman"/>
          <w:color w:val="FF0000"/>
          <w:sz w:val="24"/>
          <w:szCs w:val="24"/>
          <w:lang w:val="en-US"/>
        </w:rPr>
        <w:t xml:space="preserve"> 12</w:t>
      </w:r>
      <w:r>
        <w:rPr>
          <w:rFonts w:ascii="Times New Roman" w:hAnsi="Times New Roman" w:cs="Times New Roman"/>
          <w:sz w:val="24"/>
          <w:szCs w:val="24"/>
          <w:lang w:val="en-US"/>
        </w:rPr>
        <w:t xml:space="preserve"> months, related to the project life-cycle, starting as soon as the consulting contract has been signed between the PMU/EA. Funding of the assignment is secured by the ISFD financing. The service will be divided into 2 phases with </w:t>
      </w:r>
      <w:r>
        <w:rPr>
          <w:rFonts w:ascii="Times New Roman" w:hAnsi="Times New Roman" w:cs="Times New Roman"/>
          <w:sz w:val="24"/>
          <w:szCs w:val="24"/>
          <w:lang w:val="en-US"/>
        </w:rPr>
        <w:lastRenderedPageBreak/>
        <w:t xml:space="preserve">breakdown – Phase-I with </w:t>
      </w:r>
      <w:r>
        <w:rPr>
          <w:rFonts w:ascii="Times New Roman" w:hAnsi="Times New Roman" w:cs="Times New Roman"/>
          <w:sz w:val="24"/>
          <w:szCs w:val="24"/>
          <w:lang w:val="en-US"/>
        </w:rPr>
        <w:t xml:space="preserve">up to 6 months duration of Implementation activities </w:t>
      </w:r>
      <w:r>
        <w:rPr>
          <w:rFonts w:ascii="Times New Roman" w:hAnsi="Times New Roman" w:cs="Times New Roman"/>
          <w:i/>
          <w:iCs/>
          <w:sz w:val="24"/>
          <w:szCs w:val="24"/>
          <w:lang w:val="en-US"/>
        </w:rPr>
        <w:t>(focused on analysis, drafting, development, planning, examination, research, and formulation of a package of recommendations)</w:t>
      </w:r>
      <w:r>
        <w:rPr>
          <w:rFonts w:ascii="Times New Roman" w:hAnsi="Times New Roman" w:cs="Times New Roman"/>
          <w:sz w:val="24"/>
          <w:szCs w:val="24"/>
          <w:lang w:val="en-US"/>
        </w:rPr>
        <w:t xml:space="preserve"> and Phase-II with 6 months duration of Monitoring and Supervision activities </w:t>
      </w:r>
      <w:r>
        <w:rPr>
          <w:rFonts w:ascii="Times New Roman" w:hAnsi="Times New Roman" w:cs="Times New Roman"/>
          <w:i/>
          <w:iCs/>
          <w:sz w:val="24"/>
          <w:szCs w:val="24"/>
          <w:lang w:val="en-US"/>
        </w:rPr>
        <w:t xml:space="preserve">(focused </w:t>
      </w:r>
      <w:r>
        <w:rPr>
          <w:rFonts w:ascii="Times New Roman" w:hAnsi="Times New Roman"/>
          <w:i/>
          <w:iCs/>
          <w:sz w:val="24"/>
          <w:szCs w:val="24"/>
          <w:lang w:val="en-US"/>
        </w:rPr>
        <w:t>on monitoring and guidance, including coordination and oversight of the initial implementation</w:t>
      </w:r>
      <w:r>
        <w:rPr>
          <w:rFonts w:ascii="Times New Roman" w:hAnsi="Times New Roman" w:cs="Times New Roman"/>
          <w:i/>
          <w:iCs/>
          <w:sz w:val="24"/>
          <w:szCs w:val="24"/>
          <w:lang w:val="en-US"/>
        </w:rPr>
        <w:t xml:space="preserve"> of the proposed solutions under the BDS).</w:t>
      </w:r>
      <w:r>
        <w:rPr>
          <w:rFonts w:ascii="Times New Roman" w:hAnsi="Times New Roman" w:cs="Times New Roman"/>
          <w:sz w:val="24"/>
          <w:szCs w:val="24"/>
          <w:lang w:val="en-US"/>
        </w:rPr>
        <w:t xml:space="preserve"> </w:t>
      </w:r>
    </w:p>
    <w:p w14:paraId="678C2506" w14:textId="77777777" w:rsidR="00781030" w:rsidRDefault="00B478F0">
      <w:pPr>
        <w:tabs>
          <w:tab w:val="left" w:pos="284"/>
        </w:tabs>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actual delivery of BDS w</w:t>
      </w:r>
      <w:r>
        <w:rPr>
          <w:rFonts w:ascii="Times New Roman" w:hAnsi="Times New Roman" w:cs="Times New Roman"/>
          <w:sz w:val="24"/>
          <w:szCs w:val="24"/>
          <w:lang w:val="en-US"/>
        </w:rPr>
        <w:t>ill be carried out by local service providers to be selected by the PMU/EA through a separate procurement process during Phase I. The Consulting Company will support the PMU/EA, as required, in defining the technical requirements for such services and in f</w:t>
      </w:r>
      <w:r>
        <w:rPr>
          <w:rFonts w:ascii="Times New Roman" w:hAnsi="Times New Roman" w:cs="Times New Roman"/>
          <w:sz w:val="24"/>
          <w:szCs w:val="24"/>
          <w:lang w:val="en-US"/>
        </w:rPr>
        <w:t>acilitating the initial rollout of the BDS.</w:t>
      </w:r>
    </w:p>
    <w:p w14:paraId="067533F2" w14:textId="77777777" w:rsidR="00781030" w:rsidRDefault="00781030">
      <w:pPr>
        <w:pStyle w:val="afa"/>
        <w:tabs>
          <w:tab w:val="left" w:pos="284"/>
        </w:tabs>
        <w:autoSpaceDE w:val="0"/>
        <w:autoSpaceDN w:val="0"/>
        <w:adjustRightInd w:val="0"/>
        <w:spacing w:after="120" w:line="240" w:lineRule="auto"/>
        <w:ind w:left="900" w:hanging="360"/>
        <w:contextualSpacing w:val="0"/>
        <w:jc w:val="both"/>
        <w:rPr>
          <w:rFonts w:ascii="Times New Roman" w:eastAsiaTheme="minorEastAsia" w:hAnsi="Times New Roman" w:cs="Times New Roman"/>
          <w:sz w:val="24"/>
          <w:szCs w:val="24"/>
          <w:lang w:val="en-US"/>
        </w:rPr>
      </w:pPr>
    </w:p>
    <w:p w14:paraId="59567971"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 xml:space="preserve">Expected Deliverables </w:t>
      </w:r>
    </w:p>
    <w:p w14:paraId="657DDC89" w14:textId="59BCAC5D" w:rsidR="00781030" w:rsidRDefault="00B478F0">
      <w:pPr>
        <w:pStyle w:val="afa"/>
        <w:tabs>
          <w:tab w:val="left" w:pos="284"/>
        </w:tabs>
        <w:autoSpaceDE w:val="0"/>
        <w:autoSpaceDN w:val="0"/>
        <w:adjustRightInd w:val="0"/>
        <w:spacing w:after="120" w:line="240" w:lineRule="auto"/>
        <w:ind w:left="0"/>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The Consulting Company shall be responsible for delivering the following key outputs in accordance with the assignment objectives and timeline. Each deliverable must be submitted in Englis</w:t>
      </w:r>
      <w:r>
        <w:rPr>
          <w:rFonts w:ascii="Times New Roman" w:eastAsiaTheme="minorEastAsia" w:hAnsi="Times New Roman" w:cs="Times New Roman"/>
          <w:sz w:val="24"/>
          <w:szCs w:val="24"/>
          <w:lang w:val="en-US"/>
        </w:rPr>
        <w:t xml:space="preserve">h </w:t>
      </w:r>
      <w:proofErr w:type="gramStart"/>
      <w:r>
        <w:rPr>
          <w:rFonts w:ascii="Times New Roman" w:eastAsiaTheme="minorEastAsia" w:hAnsi="Times New Roman" w:cs="Times New Roman"/>
          <w:sz w:val="24"/>
          <w:szCs w:val="24"/>
          <w:lang w:val="en-US"/>
        </w:rPr>
        <w:t xml:space="preserve">and </w:t>
      </w:r>
      <w:r>
        <w:rPr>
          <w:rFonts w:ascii="Times New Roman" w:eastAsiaTheme="minorEastAsia" w:hAnsi="Times New Roman" w:cs="Times New Roman"/>
          <w:sz w:val="24"/>
          <w:szCs w:val="24"/>
          <w:lang w:val="en-US"/>
        </w:rPr>
        <w:t xml:space="preserve"> Uzbek</w:t>
      </w:r>
      <w:proofErr w:type="gramEnd"/>
      <w:r>
        <w:rPr>
          <w:rFonts w:ascii="Times New Roman" w:eastAsiaTheme="minorEastAsia" w:hAnsi="Times New Roman" w:cs="Times New Roman"/>
          <w:sz w:val="24"/>
          <w:szCs w:val="24"/>
          <w:lang w:val="en-US"/>
        </w:rPr>
        <w:t xml:space="preserve"> language</w:t>
      </w:r>
      <w:r>
        <w:rPr>
          <w:rFonts w:ascii="Times New Roman" w:eastAsiaTheme="minorEastAsia" w:hAnsi="Times New Roman" w:cs="Times New Roman"/>
          <w:sz w:val="24"/>
          <w:szCs w:val="24"/>
          <w:lang w:val="en-US"/>
        </w:rPr>
        <w:t>, both in print and electronic format, and must meet the content and quality standards defined by the PMU/EA. Each deliverable shall be subject to review and written acceptance by the PMU/EA.</w:t>
      </w:r>
    </w:p>
    <w:p w14:paraId="2882509C"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7.1 Inception Report </w:t>
      </w:r>
      <w:r>
        <w:rPr>
          <w:rFonts w:ascii="Times New Roman" w:hAnsi="Times New Roman" w:cs="Times New Roman"/>
          <w:b/>
          <w:bCs/>
          <w:i/>
          <w:iCs/>
          <w:sz w:val="24"/>
          <w:szCs w:val="24"/>
          <w:lang w:val="en-US"/>
        </w:rPr>
        <w:t xml:space="preserve">(by Month </w:t>
      </w:r>
      <w:r>
        <w:rPr>
          <w:rFonts w:ascii="Times New Roman" w:hAnsi="Times New Roman" w:cs="Times New Roman"/>
          <w:b/>
          <w:bCs/>
          <w:i/>
          <w:iCs/>
          <w:sz w:val="24"/>
          <w:szCs w:val="24"/>
          <w:lang w:val="en-US"/>
        </w:rPr>
        <w:t>1):</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A detailed plan for the assignment, including timelines, team setup, stakeholder engagement, and how MSMEs and business models will be identified. Approval from PMU/EA is required before continuing.</w:t>
      </w:r>
    </w:p>
    <w:p w14:paraId="2A5B262C"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7.2 Selection Approval Report </w:t>
      </w:r>
      <w:r>
        <w:rPr>
          <w:rFonts w:ascii="Times New Roman" w:hAnsi="Times New Roman" w:cs="Times New Roman"/>
          <w:b/>
          <w:bCs/>
          <w:i/>
          <w:iCs/>
          <w:sz w:val="24"/>
          <w:szCs w:val="24"/>
          <w:lang w:val="en-US"/>
        </w:rPr>
        <w:t>(by Month 2):</w:t>
      </w:r>
      <w:r>
        <w:rPr>
          <w:rFonts w:ascii="Times New Roman" w:hAnsi="Times New Roman" w:cs="Times New Roman"/>
          <w:sz w:val="24"/>
          <w:szCs w:val="24"/>
          <w:lang w:val="en-US"/>
        </w:rPr>
        <w:t xml:space="preserve"> Presentat</w:t>
      </w:r>
      <w:r>
        <w:rPr>
          <w:rFonts w:ascii="Times New Roman" w:hAnsi="Times New Roman" w:cs="Times New Roman"/>
          <w:sz w:val="24"/>
          <w:szCs w:val="24"/>
          <w:lang w:val="en-US"/>
        </w:rPr>
        <w:t>ion of the 30 selected/proposed profitable business models for women wishing to start income-generating businesses and 10 selected/proposed vulnerable business sectors/activity types for official validation and approval by PMU/EA.</w:t>
      </w:r>
    </w:p>
    <w:p w14:paraId="05D433FD"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7.3 BDS Service Provider </w:t>
      </w:r>
      <w:r>
        <w:rPr>
          <w:rFonts w:ascii="Times New Roman" w:hAnsi="Times New Roman" w:cs="Times New Roman"/>
          <w:b/>
          <w:bCs/>
          <w:sz w:val="24"/>
          <w:szCs w:val="24"/>
          <w:lang w:val="en-US"/>
        </w:rPr>
        <w:t>Technical Requirements</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(by Month 3)</w:t>
      </w:r>
      <w:r>
        <w:rPr>
          <w:rFonts w:ascii="Times New Roman" w:hAnsi="Times New Roman" w:cs="Times New Roman"/>
          <w:sz w:val="24"/>
          <w:szCs w:val="24"/>
          <w:lang w:val="en-US"/>
        </w:rPr>
        <w:t>: Preparation of the technical requirements and scope of services for the local BDS service providers to be procured separately by the PMU/EA, including the proposed service delivery approach, target groups, geographic co</w:t>
      </w:r>
      <w:r>
        <w:rPr>
          <w:rFonts w:ascii="Times New Roman" w:hAnsi="Times New Roman" w:cs="Times New Roman"/>
          <w:sz w:val="24"/>
          <w:szCs w:val="24"/>
          <w:lang w:val="en-US"/>
        </w:rPr>
        <w:t>verage, expected activities, minimum qualification requirements, key outputs and monitoring arrangements.</w:t>
      </w:r>
    </w:p>
    <w:p w14:paraId="38DB27C2"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7.4 Business Model Portfolio </w:t>
      </w:r>
      <w:r>
        <w:rPr>
          <w:rFonts w:ascii="Times New Roman" w:hAnsi="Times New Roman" w:cs="Times New Roman"/>
          <w:b/>
          <w:bCs/>
          <w:i/>
          <w:iCs/>
          <w:sz w:val="24"/>
          <w:szCs w:val="24"/>
          <w:lang w:val="en-US"/>
        </w:rPr>
        <w:t>(by Month 5):</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At least 30 profitable business models developed with supporting studies, value chain analysis, and </w:t>
      </w:r>
      <w:r>
        <w:rPr>
          <w:rFonts w:ascii="Times New Roman" w:hAnsi="Times New Roman" w:cs="Times New Roman"/>
          <w:sz w:val="24"/>
          <w:szCs w:val="24"/>
          <w:lang w:val="en-US"/>
        </w:rPr>
        <w:t>income projections. Models must meet criteria from Annex 2 and provide clear guidance for entrepreneurs and financiers.</w:t>
      </w:r>
    </w:p>
    <w:p w14:paraId="4A9115D1"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7.5 Sector Assessment Report </w:t>
      </w:r>
      <w:r>
        <w:rPr>
          <w:rFonts w:ascii="Times New Roman" w:hAnsi="Times New Roman" w:cs="Times New Roman"/>
          <w:b/>
          <w:bCs/>
          <w:i/>
          <w:iCs/>
          <w:sz w:val="24"/>
          <w:szCs w:val="24"/>
          <w:lang w:val="en-US"/>
        </w:rPr>
        <w:t xml:space="preserve">(by Month 5): </w:t>
      </w:r>
      <w:r>
        <w:rPr>
          <w:rFonts w:ascii="Times New Roman" w:hAnsi="Times New Roman" w:cs="Times New Roman"/>
          <w:sz w:val="24"/>
          <w:szCs w:val="24"/>
          <w:lang w:val="en-US"/>
        </w:rPr>
        <w:t>Study of 10 vulnerable business sectors and 50 example enterprises. Includes analysis, recomm</w:t>
      </w:r>
      <w:r>
        <w:rPr>
          <w:rFonts w:ascii="Times New Roman" w:hAnsi="Times New Roman" w:cs="Times New Roman"/>
          <w:sz w:val="24"/>
          <w:szCs w:val="24"/>
          <w:lang w:val="en-US"/>
        </w:rPr>
        <w:t>ended actions (recovery and scale-up solutions), and visual summaries (such as maps) where needed.</w:t>
      </w:r>
    </w:p>
    <w:p w14:paraId="3AFED2AF"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7.6 Training Programs </w:t>
      </w:r>
      <w:r>
        <w:rPr>
          <w:rFonts w:ascii="Times New Roman" w:hAnsi="Times New Roman" w:cs="Times New Roman"/>
          <w:b/>
          <w:bCs/>
          <w:i/>
          <w:iCs/>
          <w:sz w:val="24"/>
          <w:szCs w:val="24"/>
          <w:lang w:val="en-US"/>
        </w:rPr>
        <w:t>(by Month 5):</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Two training packages: One for MSMEs on how to recover and grow. One for women on how to start and manage the proposed bu</w:t>
      </w:r>
      <w:r>
        <w:rPr>
          <w:rFonts w:ascii="Times New Roman" w:hAnsi="Times New Roman" w:cs="Times New Roman"/>
          <w:sz w:val="24"/>
          <w:szCs w:val="24"/>
          <w:lang w:val="en-US"/>
        </w:rPr>
        <w:t xml:space="preserve">sinesses. Each package includes materials, guides, and monitoring tools. The Consultant may also provide </w:t>
      </w:r>
      <w:r>
        <w:rPr>
          <w:rFonts w:ascii="Times New Roman" w:hAnsi="Times New Roman" w:cs="Times New Roman"/>
          <w:sz w:val="24"/>
          <w:szCs w:val="24"/>
          <w:lang w:val="en-US"/>
        </w:rPr>
        <w:lastRenderedPageBreak/>
        <w:t>initial Training of Trainers and pilot support, while wider training delivery will be carried out through local service providers.</w:t>
      </w:r>
    </w:p>
    <w:p w14:paraId="5CE562A8"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7.7 Institutional To</w:t>
      </w:r>
      <w:r>
        <w:rPr>
          <w:rFonts w:ascii="Times New Roman" w:hAnsi="Times New Roman" w:cs="Times New Roman"/>
          <w:b/>
          <w:bCs/>
          <w:sz w:val="24"/>
          <w:szCs w:val="24"/>
          <w:lang w:val="en-US"/>
        </w:rPr>
        <w:t xml:space="preserve">ols &amp; Support for PFIs </w:t>
      </w:r>
      <w:r>
        <w:rPr>
          <w:rFonts w:ascii="Times New Roman" w:hAnsi="Times New Roman" w:cs="Times New Roman"/>
          <w:b/>
          <w:bCs/>
          <w:i/>
          <w:iCs/>
          <w:sz w:val="24"/>
          <w:szCs w:val="24"/>
          <w:lang w:val="en-US"/>
        </w:rPr>
        <w:t>(by Month 5):</w:t>
      </w:r>
      <w:r>
        <w:rPr>
          <w:rFonts w:ascii="Times New Roman" w:hAnsi="Times New Roman" w:cs="Times New Roman"/>
          <w:sz w:val="24"/>
          <w:szCs w:val="24"/>
          <w:lang w:val="en-US"/>
        </w:rPr>
        <w:t xml:space="preserve"> Development of practical financing tools and recommendations for BDB and EDC to support the 10 selected vulnerable business activities and 30 profitable business models, including appropriate Sharia-compliant financing </w:t>
      </w:r>
      <w:r>
        <w:rPr>
          <w:rFonts w:ascii="Times New Roman" w:hAnsi="Times New Roman" w:cs="Times New Roman"/>
          <w:sz w:val="24"/>
          <w:szCs w:val="24"/>
          <w:lang w:val="en-US"/>
        </w:rPr>
        <w:t>options. Targeted orientation or Training of Trainers may be provided to relevant PFI and EA staff, as required.</w:t>
      </w:r>
    </w:p>
    <w:p w14:paraId="6706B420" w14:textId="77777777"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 xml:space="preserve">7.8 BDS Framework </w:t>
      </w:r>
      <w:r>
        <w:rPr>
          <w:rFonts w:ascii="Times New Roman" w:hAnsi="Times New Roman" w:cs="Times New Roman"/>
          <w:b/>
          <w:bCs/>
          <w:i/>
          <w:iCs/>
          <w:sz w:val="24"/>
          <w:szCs w:val="24"/>
          <w:lang w:val="en-US"/>
        </w:rPr>
        <w:t>(by Month 6):</w:t>
      </w:r>
      <w:r>
        <w:rPr>
          <w:rFonts w:ascii="Times New Roman" w:hAnsi="Times New Roman" w:cs="Times New Roman"/>
          <w:sz w:val="24"/>
          <w:szCs w:val="24"/>
          <w:lang w:val="en-US"/>
        </w:rPr>
        <w:t xml:space="preserve"> Plan for a sustainable Business Development Services (BDS) system that supports MSMEs and links with training a</w:t>
      </w:r>
      <w:r>
        <w:rPr>
          <w:rFonts w:ascii="Times New Roman" w:hAnsi="Times New Roman" w:cs="Times New Roman"/>
          <w:sz w:val="24"/>
          <w:szCs w:val="24"/>
          <w:lang w:val="en-US"/>
        </w:rPr>
        <w:t>nd finance tools.</w:t>
      </w:r>
    </w:p>
    <w:p w14:paraId="07391B73" w14:textId="77777777" w:rsidR="00781030" w:rsidRDefault="00B478F0">
      <w:pPr>
        <w:rPr>
          <w:rFonts w:ascii="Times New Roman" w:hAnsi="Times New Roman"/>
          <w:sz w:val="24"/>
          <w:szCs w:val="24"/>
          <w:lang w:val="en-US"/>
        </w:rPr>
      </w:pPr>
      <w:r>
        <w:rPr>
          <w:rFonts w:ascii="Times New Roman" w:hAnsi="Times New Roman"/>
          <w:b/>
          <w:bCs/>
          <w:sz w:val="24"/>
          <w:szCs w:val="24"/>
          <w:lang w:val="en-US"/>
        </w:rPr>
        <w:t>7.9 BDS Mentorship and Initial Implementation Support</w:t>
      </w:r>
      <w:r>
        <w:rPr>
          <w:rFonts w:ascii="Times New Roman" w:hAnsi="Times New Roman"/>
          <w:sz w:val="24"/>
          <w:szCs w:val="24"/>
          <w:lang w:val="en-US"/>
        </w:rPr>
        <w:t xml:space="preserve"> </w:t>
      </w:r>
      <w:r>
        <w:rPr>
          <w:rFonts w:ascii="Times New Roman" w:hAnsi="Times New Roman"/>
          <w:i/>
          <w:iCs/>
          <w:sz w:val="24"/>
          <w:szCs w:val="24"/>
          <w:lang w:val="en-US"/>
        </w:rPr>
        <w:t>(Ongoing: Months 7–12)</w:t>
      </w:r>
    </w:p>
    <w:p w14:paraId="34DECCDD" w14:textId="77777777" w:rsidR="00781030" w:rsidRDefault="00B478F0">
      <w:pPr>
        <w:spacing w:line="240" w:lineRule="auto"/>
        <w:rPr>
          <w:rFonts w:ascii="Times New Roman" w:hAnsi="Times New Roman"/>
          <w:sz w:val="24"/>
          <w:szCs w:val="24"/>
          <w:lang w:val="en-US"/>
        </w:rPr>
      </w:pPr>
      <w:r>
        <w:rPr>
          <w:rFonts w:ascii="Times New Roman" w:hAnsi="Times New Roman"/>
          <w:sz w:val="24"/>
          <w:szCs w:val="24"/>
          <w:lang w:val="en-US"/>
        </w:rPr>
        <w:t>The Consulting Company shall provide hands-on assistance to the EA/PMU in implementing Business Development Services (BDS), including:</w:t>
      </w:r>
    </w:p>
    <w:p w14:paraId="62661C11" w14:textId="05B4902F" w:rsidR="00781030" w:rsidRDefault="00B478F0">
      <w:pPr>
        <w:spacing w:line="240" w:lineRule="auto"/>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sz w:val="24"/>
          <w:szCs w:val="24"/>
          <w:lang w:val="en-US"/>
        </w:rPr>
        <w:t>i</w:t>
      </w:r>
      <w:proofErr w:type="spellEnd"/>
      <w:r>
        <w:rPr>
          <w:rFonts w:ascii="Times New Roman" w:hAnsi="Times New Roman"/>
          <w:sz w:val="24"/>
          <w:szCs w:val="24"/>
          <w:lang w:val="en-US"/>
        </w:rPr>
        <w:t>) On-Site Support and Co</w:t>
      </w:r>
      <w:r>
        <w:rPr>
          <w:rFonts w:ascii="Times New Roman" w:hAnsi="Times New Roman"/>
          <w:sz w:val="24"/>
          <w:szCs w:val="24"/>
          <w:lang w:val="en-US"/>
        </w:rPr>
        <w:t xml:space="preserve">ordination: Assist EA/PMU in planning and managing the rollout of BDS across selected regions. This includes helping to organize service delivery schedules, </w:t>
      </w:r>
      <w:r>
        <w:rPr>
          <w:rFonts w:ascii="Times New Roman" w:hAnsi="Times New Roman"/>
          <w:sz w:val="24"/>
          <w:szCs w:val="24"/>
          <w:lang w:val="en-US"/>
        </w:rPr>
        <w:t>coordinating the technical aspects of service delivery with BDS providers selected separately by th</w:t>
      </w:r>
      <w:r>
        <w:rPr>
          <w:rFonts w:ascii="Times New Roman" w:hAnsi="Times New Roman"/>
          <w:sz w:val="24"/>
          <w:szCs w:val="24"/>
          <w:lang w:val="en-US"/>
        </w:rPr>
        <w:t>e PMU/EA</w:t>
      </w:r>
      <w:r>
        <w:rPr>
          <w:rFonts w:ascii="Times New Roman" w:hAnsi="Times New Roman"/>
          <w:sz w:val="24"/>
          <w:szCs w:val="24"/>
          <w:lang w:val="en-US"/>
        </w:rPr>
        <w:t>.</w:t>
      </w:r>
    </w:p>
    <w:p w14:paraId="024F9398" w14:textId="77777777" w:rsidR="00781030" w:rsidRDefault="00B478F0">
      <w:pPr>
        <w:spacing w:line="240" w:lineRule="auto"/>
        <w:rPr>
          <w:rFonts w:ascii="Times New Roman" w:hAnsi="Times New Roman"/>
          <w:sz w:val="24"/>
          <w:szCs w:val="24"/>
          <w:lang w:val="en-US"/>
        </w:rPr>
      </w:pPr>
      <w:r>
        <w:rPr>
          <w:rFonts w:ascii="Times New Roman" w:hAnsi="Times New Roman"/>
          <w:sz w:val="24"/>
          <w:szCs w:val="24"/>
          <w:lang w:val="en-US"/>
        </w:rPr>
        <w:t>(ii) Instructor-Level Mentorship: Actively guide EA/PMU staff and BDS providers during service implementation by:</w:t>
      </w:r>
    </w:p>
    <w:p w14:paraId="41DDD269"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Offering real-time coaching and technical support;</w:t>
      </w:r>
    </w:p>
    <w:p w14:paraId="75DDD5B8"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Demonstrating best practices in business diagnostics, advisory, and coaching;</w:t>
      </w:r>
    </w:p>
    <w:p w14:paraId="5A5CE0F0"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Ensuring consistency and quality of services delivered to MSMEs.</w:t>
      </w:r>
    </w:p>
    <w:p w14:paraId="382E4303" w14:textId="77777777" w:rsidR="00781030" w:rsidRDefault="00B478F0">
      <w:pPr>
        <w:spacing w:line="240" w:lineRule="auto"/>
        <w:rPr>
          <w:rFonts w:ascii="Times New Roman" w:hAnsi="Times New Roman"/>
          <w:sz w:val="24"/>
          <w:szCs w:val="24"/>
          <w:lang w:val="en-US"/>
        </w:rPr>
      </w:pPr>
      <w:r>
        <w:rPr>
          <w:rFonts w:ascii="Times New Roman" w:hAnsi="Times New Roman"/>
          <w:sz w:val="24"/>
          <w:szCs w:val="24"/>
          <w:lang w:val="en-US"/>
        </w:rPr>
        <w:t>(iii) Monitoring and Feedback: Collaborate with EA/PMU to:</w:t>
      </w:r>
    </w:p>
    <w:p w14:paraId="61CD8C2D"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Develop and apply monitoring tools;</w:t>
      </w:r>
    </w:p>
    <w:p w14:paraId="25877C22"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Track service effe</w:t>
      </w:r>
      <w:r>
        <w:rPr>
          <w:rFonts w:ascii="Times New Roman" w:hAnsi="Times New Roman"/>
          <w:sz w:val="24"/>
          <w:szCs w:val="24"/>
          <w:lang w:val="en-US"/>
        </w:rPr>
        <w:t>ctiveness, client feedback, and performance indicators;</w:t>
      </w:r>
    </w:p>
    <w:p w14:paraId="59B1D966"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Identify gaps or weaknesses in service delivery.</w:t>
      </w:r>
    </w:p>
    <w:p w14:paraId="16EE0EF9" w14:textId="77777777" w:rsidR="00781030" w:rsidRDefault="00B478F0">
      <w:pPr>
        <w:spacing w:line="240" w:lineRule="auto"/>
        <w:rPr>
          <w:rFonts w:ascii="Times New Roman" w:hAnsi="Times New Roman"/>
          <w:sz w:val="24"/>
          <w:szCs w:val="24"/>
          <w:lang w:val="en-US"/>
        </w:rPr>
      </w:pPr>
      <w:r>
        <w:rPr>
          <w:rFonts w:ascii="Times New Roman" w:hAnsi="Times New Roman"/>
          <w:sz w:val="24"/>
          <w:szCs w:val="24"/>
          <w:lang w:val="en-US"/>
        </w:rPr>
        <w:t>(iv) Corrective Action and Continuous Improvement: Prepare periodic mentoring and monitoring reports that include:</w:t>
      </w:r>
    </w:p>
    <w:p w14:paraId="45C13608"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Recommendations for immediate correc</w:t>
      </w:r>
      <w:r>
        <w:rPr>
          <w:rFonts w:ascii="Times New Roman" w:hAnsi="Times New Roman"/>
          <w:sz w:val="24"/>
          <w:szCs w:val="24"/>
          <w:lang w:val="en-US"/>
        </w:rPr>
        <w:t>tive actions;</w:t>
      </w:r>
    </w:p>
    <w:p w14:paraId="2042A700" w14:textId="77777777" w:rsidR="00781030" w:rsidRDefault="00B478F0">
      <w:pPr>
        <w:spacing w:line="240" w:lineRule="auto"/>
        <w:ind w:leftChars="200" w:left="440"/>
        <w:rPr>
          <w:rFonts w:ascii="Times New Roman" w:hAnsi="Times New Roman"/>
          <w:sz w:val="24"/>
          <w:szCs w:val="24"/>
          <w:lang w:val="en-US"/>
        </w:rPr>
      </w:pPr>
      <w:r>
        <w:rPr>
          <w:rFonts w:ascii="Times New Roman" w:hAnsi="Times New Roman"/>
          <w:sz w:val="24"/>
          <w:szCs w:val="24"/>
          <w:lang w:val="en-US"/>
        </w:rPr>
        <w:t>Adjustments to tools, training, or processes based on field realities;</w:t>
      </w:r>
    </w:p>
    <w:p w14:paraId="380D7987" w14:textId="77777777" w:rsidR="00781030" w:rsidRDefault="00B478F0">
      <w:pPr>
        <w:spacing w:line="240" w:lineRule="auto"/>
        <w:ind w:leftChars="200" w:left="440"/>
        <w:rPr>
          <w:rFonts w:ascii="Times New Roman" w:hAnsi="Times New Roman" w:cs="Times New Roman"/>
          <w:sz w:val="24"/>
          <w:szCs w:val="24"/>
          <w:lang w:val="en-US"/>
        </w:rPr>
      </w:pPr>
      <w:r>
        <w:rPr>
          <w:rFonts w:ascii="Times New Roman" w:hAnsi="Times New Roman"/>
          <w:sz w:val="24"/>
          <w:szCs w:val="24"/>
          <w:lang w:val="en-US"/>
        </w:rPr>
        <w:t>Documentation of lessons learned and good practices to inform future scale-up.</w:t>
      </w:r>
    </w:p>
    <w:p w14:paraId="77FBF14D" w14:textId="7B0C0BC6" w:rsidR="00781030" w:rsidRDefault="00B478F0">
      <w:pPr>
        <w:rPr>
          <w:rFonts w:ascii="Times New Roman" w:hAnsi="Times New Roman" w:cs="Times New Roman"/>
          <w:sz w:val="24"/>
          <w:szCs w:val="24"/>
          <w:lang w:val="en-US"/>
        </w:rPr>
      </w:pPr>
      <w:r>
        <w:rPr>
          <w:rFonts w:ascii="Times New Roman" w:hAnsi="Times New Roman" w:cs="Times New Roman"/>
          <w:b/>
          <w:bCs/>
          <w:sz w:val="24"/>
          <w:szCs w:val="24"/>
          <w:lang w:val="en-US"/>
        </w:rPr>
        <w:t>7.</w:t>
      </w:r>
      <w:r>
        <w:rPr>
          <w:rFonts w:ascii="Times New Roman" w:hAnsi="Times New Roman" w:cs="Times New Roman"/>
          <w:b/>
          <w:bCs/>
          <w:sz w:val="24"/>
          <w:szCs w:val="24"/>
          <w:lang w:val="en-US"/>
        </w:rPr>
        <w:t>10</w:t>
      </w:r>
      <w:r>
        <w:rPr>
          <w:rFonts w:ascii="Times New Roman" w:hAnsi="Times New Roman" w:cs="Times New Roman"/>
          <w:b/>
          <w:bCs/>
          <w:sz w:val="24"/>
          <w:szCs w:val="24"/>
          <w:lang w:val="en-US"/>
        </w:rPr>
        <w:t xml:space="preserve"> Final Reports </w:t>
      </w:r>
      <w:r>
        <w:rPr>
          <w:rFonts w:ascii="Times New Roman" w:hAnsi="Times New Roman" w:cs="Times New Roman"/>
          <w:b/>
          <w:bCs/>
          <w:i/>
          <w:iCs/>
          <w:sz w:val="24"/>
          <w:szCs w:val="24"/>
          <w:lang w:val="en-US"/>
        </w:rPr>
        <w:t>(Draft by Month 11; Final by Month 12):</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Completion Report: Summary of ac</w:t>
      </w:r>
      <w:r>
        <w:rPr>
          <w:rFonts w:ascii="Times New Roman" w:hAnsi="Times New Roman" w:cs="Times New Roman"/>
          <w:sz w:val="24"/>
          <w:szCs w:val="24"/>
          <w:lang w:val="en-US"/>
        </w:rPr>
        <w:t>tivities, achievements, and lessons.</w:t>
      </w:r>
    </w:p>
    <w:p w14:paraId="17651F32"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lastRenderedPageBreak/>
        <w:t>Responsibilities of the PMU/EA</w:t>
      </w:r>
    </w:p>
    <w:p w14:paraId="1D6A7D55"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PMU/EA is responsible for:</w:t>
      </w:r>
    </w:p>
    <w:p w14:paraId="1956FA40"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providing reasonable administrative and coordination support necessary for the performance of the assignment (if applicable);</w:t>
      </w:r>
    </w:p>
    <w:p w14:paraId="38CB30F5"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coordination and </w:t>
      </w:r>
      <w:r>
        <w:rPr>
          <w:rFonts w:ascii="Times New Roman" w:eastAsiaTheme="minorEastAsia" w:hAnsi="Times New Roman" w:cs="Times New Roman"/>
          <w:sz w:val="24"/>
          <w:szCs w:val="24"/>
          <w:lang w:val="en-US"/>
        </w:rPr>
        <w:t>supporting of the B.E.T. when interacting with government agencies and other relevant stakeholders;</w:t>
      </w:r>
    </w:p>
    <w:p w14:paraId="6621FA52"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timely review and written acceptance of deliverables submitted by the Consulting Company;</w:t>
      </w:r>
    </w:p>
    <w:p w14:paraId="408D1B64"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organizing and managing the separate procurement of local BDS serv</w:t>
      </w:r>
      <w:r>
        <w:rPr>
          <w:rFonts w:ascii="Times New Roman" w:eastAsiaTheme="minorEastAsia" w:hAnsi="Times New Roman" w:cs="Times New Roman"/>
          <w:sz w:val="24"/>
          <w:szCs w:val="24"/>
          <w:lang w:val="en-US"/>
        </w:rPr>
        <w:t>ice providers, based on the technical requirements developed under the assignment;</w:t>
      </w:r>
    </w:p>
    <w:p w14:paraId="0060B1FC"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facilitating access to relevant project information, institutions and stakeholders necessary for the assignment;</w:t>
      </w:r>
    </w:p>
    <w:p w14:paraId="1898BE2E"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timely payment for services in accordance with the Contract.</w:t>
      </w:r>
    </w:p>
    <w:p w14:paraId="36C4B5F1" w14:textId="77777777" w:rsidR="00781030" w:rsidRDefault="00781030">
      <w:pPr>
        <w:spacing w:after="120" w:line="240" w:lineRule="auto"/>
        <w:jc w:val="both"/>
        <w:rPr>
          <w:rFonts w:ascii="Times New Roman" w:hAnsi="Times New Roman" w:cs="Times New Roman"/>
          <w:sz w:val="24"/>
          <w:szCs w:val="24"/>
          <w:lang w:val="en-US"/>
        </w:rPr>
      </w:pPr>
    </w:p>
    <w:p w14:paraId="3384AE7B"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 xml:space="preserve">Responsibilities of the Consulting company </w:t>
      </w:r>
    </w:p>
    <w:p w14:paraId="04267F20"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Consulting company is responsible for: </w:t>
      </w:r>
    </w:p>
    <w:p w14:paraId="53E7AB51"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observing the timeframe of consultancy services and agreed deliverable schedule;</w:t>
      </w:r>
    </w:p>
    <w:p w14:paraId="79A42135"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ensuring the high quality of the services and deliverables;</w:t>
      </w:r>
    </w:p>
    <w:p w14:paraId="289AE5D7"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observing the </w:t>
      </w:r>
      <w:r>
        <w:rPr>
          <w:rFonts w:ascii="Times New Roman" w:eastAsiaTheme="minorEastAsia" w:hAnsi="Times New Roman" w:cs="Times New Roman"/>
          <w:sz w:val="24"/>
          <w:szCs w:val="24"/>
          <w:lang w:val="en-US"/>
        </w:rPr>
        <w:t>budget for the assignment;</w:t>
      </w:r>
    </w:p>
    <w:p w14:paraId="59703F0C" w14:textId="77777777" w:rsidR="00781030" w:rsidRDefault="00B478F0">
      <w:pPr>
        <w:pStyle w:val="afa"/>
        <w:numPr>
          <w:ilvl w:val="0"/>
          <w:numId w:val="4"/>
        </w:numPr>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timely informing the PMU/EA in cases when there are significant changes in the work schedule or circumstances that may affect timely delivery of the assignment.</w:t>
      </w:r>
    </w:p>
    <w:p w14:paraId="422F9650" w14:textId="77777777" w:rsidR="00781030" w:rsidRDefault="00B478F0">
      <w:pPr>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Consulting company shall perform services and carry out their ob</w:t>
      </w:r>
      <w:r>
        <w:rPr>
          <w:rFonts w:ascii="Times New Roman" w:hAnsi="Times New Roman" w:cs="Times New Roman"/>
          <w:sz w:val="24"/>
          <w:szCs w:val="24"/>
          <w:lang w:val="en-US"/>
        </w:rPr>
        <w:t>ligations with all due diligence, efficiency, and economy, in accordance with generally accepted professional techniques and practices, and shall observe sound management practices, and employ appropriate advanced technology and safe methods. The Consultin</w:t>
      </w:r>
      <w:r>
        <w:rPr>
          <w:rFonts w:ascii="Times New Roman" w:hAnsi="Times New Roman" w:cs="Times New Roman"/>
          <w:sz w:val="24"/>
          <w:szCs w:val="24"/>
          <w:lang w:val="en-US"/>
        </w:rPr>
        <w:t>g company shall always act, in respect of any matter relating to the services, as faithful advisers to the PMU/EA, and shall at all times support and safeguard the PMU/EA’s legitimate interests in any dealings with Subconsultants or third parties.</w:t>
      </w:r>
    </w:p>
    <w:p w14:paraId="36A64491" w14:textId="77777777" w:rsidR="00781030" w:rsidRDefault="00781030">
      <w:pPr>
        <w:pStyle w:val="afa"/>
        <w:tabs>
          <w:tab w:val="left" w:pos="284"/>
        </w:tabs>
        <w:autoSpaceDE w:val="0"/>
        <w:autoSpaceDN w:val="0"/>
        <w:adjustRightInd w:val="0"/>
        <w:spacing w:after="120" w:line="240" w:lineRule="auto"/>
        <w:ind w:left="0"/>
        <w:contextualSpacing w:val="0"/>
        <w:jc w:val="both"/>
        <w:rPr>
          <w:rFonts w:ascii="Times New Roman" w:eastAsiaTheme="minorEastAsia" w:hAnsi="Times New Roman" w:cs="Times New Roman"/>
          <w:b/>
          <w:sz w:val="24"/>
          <w:szCs w:val="24"/>
          <w:lang w:val="en-US"/>
        </w:rPr>
      </w:pPr>
    </w:p>
    <w:p w14:paraId="23A14FC9"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Informa</w:t>
      </w:r>
      <w:r>
        <w:rPr>
          <w:rFonts w:ascii="Times New Roman" w:hAnsi="Times New Roman" w:cs="Times New Roman"/>
          <w:sz w:val="24"/>
          <w:szCs w:val="24"/>
          <w:lang w:val="en-US"/>
        </w:rPr>
        <w:t xml:space="preserve">tion on the PMU/EA’s counterpart staff to be associated with the service and the facilities to be provided to the Consulting company </w:t>
      </w:r>
    </w:p>
    <w:p w14:paraId="7E7E9514" w14:textId="77777777"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Recipient of the consultancy service is the PMU/EA. The PMU will coordinate the work of the Consulting company. The re</w:t>
      </w:r>
      <w:r>
        <w:rPr>
          <w:rFonts w:ascii="Times New Roman" w:hAnsi="Times New Roman" w:cs="Times New Roman"/>
          <w:sz w:val="24"/>
          <w:szCs w:val="24"/>
          <w:lang w:val="en-US"/>
        </w:rPr>
        <w:t xml:space="preserve">sponsible contact from PMU side are as follows: </w:t>
      </w:r>
    </w:p>
    <w:p w14:paraId="592A0FE8" w14:textId="77777777" w:rsidR="00781030" w:rsidRDefault="00B478F0">
      <w:pPr>
        <w:pStyle w:val="afa"/>
        <w:numPr>
          <w:ilvl w:val="1"/>
          <w:numId w:val="5"/>
        </w:numPr>
        <w:autoSpaceDE w:val="0"/>
        <w:autoSpaceDN w:val="0"/>
        <w:adjustRightInd w:val="0"/>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Project Manager </w:t>
      </w:r>
    </w:p>
    <w:p w14:paraId="3DB129FF" w14:textId="77777777" w:rsidR="00781030" w:rsidRDefault="00B478F0">
      <w:pPr>
        <w:pStyle w:val="afa"/>
        <w:numPr>
          <w:ilvl w:val="1"/>
          <w:numId w:val="5"/>
        </w:numPr>
        <w:autoSpaceDE w:val="0"/>
        <w:autoSpaceDN w:val="0"/>
        <w:adjustRightInd w:val="0"/>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MSME Financing Specialist </w:t>
      </w:r>
    </w:p>
    <w:p w14:paraId="50A4F8FF" w14:textId="77777777" w:rsidR="00781030" w:rsidRDefault="00B478F0">
      <w:pPr>
        <w:pStyle w:val="afa"/>
        <w:numPr>
          <w:ilvl w:val="1"/>
          <w:numId w:val="5"/>
        </w:numPr>
        <w:autoSpaceDE w:val="0"/>
        <w:autoSpaceDN w:val="0"/>
        <w:adjustRightInd w:val="0"/>
        <w:spacing w:after="120" w:line="240" w:lineRule="auto"/>
        <w:ind w:left="851"/>
        <w:contextualSpacing w:val="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M&amp;E Specialist </w:t>
      </w:r>
    </w:p>
    <w:p w14:paraId="63F134E9" w14:textId="77777777"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PMU/EA will provide the Consulting company with all project-related relevant documents and information available. </w:t>
      </w:r>
    </w:p>
    <w:p w14:paraId="3787CC86" w14:textId="77777777" w:rsidR="00781030" w:rsidRDefault="00781030">
      <w:pPr>
        <w:autoSpaceDE w:val="0"/>
        <w:autoSpaceDN w:val="0"/>
        <w:adjustRightInd w:val="0"/>
        <w:spacing w:after="120" w:line="240" w:lineRule="auto"/>
        <w:ind w:left="567"/>
        <w:jc w:val="both"/>
        <w:rPr>
          <w:rFonts w:ascii="Times New Roman" w:hAnsi="Times New Roman" w:cs="Times New Roman"/>
          <w:sz w:val="24"/>
          <w:szCs w:val="24"/>
          <w:lang w:val="en-US"/>
        </w:rPr>
      </w:pPr>
    </w:p>
    <w:p w14:paraId="6FBE1083"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Description of main terms a</w:t>
      </w:r>
      <w:r>
        <w:rPr>
          <w:rFonts w:ascii="Times New Roman" w:hAnsi="Times New Roman" w:cs="Times New Roman"/>
          <w:sz w:val="24"/>
          <w:szCs w:val="24"/>
          <w:lang w:val="en-US"/>
        </w:rPr>
        <w:t>nd conditions of the appointment</w:t>
      </w:r>
    </w:p>
    <w:p w14:paraId="698C57A4" w14:textId="76BF46EE"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PMU/EA during selection of Consulting Company or JV of Consulting Companies (B.E.T.) will apply Quality and Cost Based Selection </w:t>
      </w:r>
      <w:r>
        <w:rPr>
          <w:rFonts w:ascii="Times New Roman" w:hAnsi="Times New Roman" w:cs="Times New Roman"/>
          <w:sz w:val="24"/>
          <w:szCs w:val="24"/>
          <w:lang w:val="en-US"/>
        </w:rPr>
        <w:t>through an international shortlist (QCBS-International), open to eligible consulting firms</w:t>
      </w:r>
      <w:r>
        <w:rPr>
          <w:rFonts w:ascii="Times New Roman" w:hAnsi="Times New Roman" w:cs="Times New Roman"/>
          <w:sz w:val="24"/>
          <w:szCs w:val="24"/>
          <w:lang w:val="en-US"/>
        </w:rPr>
        <w:t xml:space="preserve"> from any country, subject to the applicable IsDB eligibility requirements</w:t>
      </w:r>
      <w:r>
        <w:rPr>
          <w:rFonts w:ascii="Times New Roman" w:hAnsi="Times New Roman" w:cs="Times New Roman"/>
          <w:sz w:val="24"/>
          <w:szCs w:val="24"/>
          <w:lang w:val="en-US"/>
        </w:rPr>
        <w:t xml:space="preserve">. The PMU/EA will follow procedures in accordance with the provisions contained in the Guidelines for the Procurement </w:t>
      </w:r>
      <w:r>
        <w:rPr>
          <w:rFonts w:ascii="Times New Roman" w:hAnsi="Times New Roman" w:cs="Times New Roman"/>
          <w:sz w:val="24"/>
          <w:szCs w:val="24"/>
          <w:lang w:val="en-US"/>
        </w:rPr>
        <w:t>of Consultancy Servi</w:t>
      </w:r>
      <w:r>
        <w:rPr>
          <w:rFonts w:ascii="Times New Roman" w:hAnsi="Times New Roman" w:cs="Times New Roman"/>
          <w:sz w:val="24"/>
          <w:szCs w:val="24"/>
          <w:lang w:val="en-US"/>
        </w:rPr>
        <w:t>ces under Islamic Development Bank Project Financing, April 2019, revised February 2023</w:t>
      </w:r>
      <w:r>
        <w:rPr>
          <w:rFonts w:ascii="Times New Roman" w:hAnsi="Times New Roman" w:cs="Times New Roman"/>
          <w:sz w:val="24"/>
          <w:szCs w:val="24"/>
          <w:lang w:val="en-US"/>
        </w:rPr>
        <w:t>.</w:t>
      </w:r>
    </w:p>
    <w:p w14:paraId="480B17B4" w14:textId="77777777" w:rsidR="00781030" w:rsidRDefault="00781030">
      <w:pPr>
        <w:autoSpaceDE w:val="0"/>
        <w:autoSpaceDN w:val="0"/>
        <w:adjustRightInd w:val="0"/>
        <w:spacing w:after="120" w:line="240" w:lineRule="auto"/>
        <w:jc w:val="both"/>
        <w:rPr>
          <w:rFonts w:ascii="Times New Roman" w:hAnsi="Times New Roman" w:cs="Times New Roman"/>
          <w:sz w:val="24"/>
          <w:szCs w:val="24"/>
          <w:lang w:val="en-US"/>
        </w:rPr>
      </w:pPr>
    </w:p>
    <w:p w14:paraId="6C992828"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Requirements set for the staff</w:t>
      </w:r>
    </w:p>
    <w:p w14:paraId="4AA68995" w14:textId="2311021D"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Consulting Company will carry out the assignment in office and field as required for the effective delivery of the </w:t>
      </w:r>
      <w:r>
        <w:rPr>
          <w:rFonts w:ascii="Times New Roman" w:hAnsi="Times New Roman" w:cs="Times New Roman"/>
          <w:sz w:val="24"/>
          <w:szCs w:val="24"/>
          <w:lang w:val="en-US"/>
        </w:rPr>
        <w:t>assignment</w:t>
      </w:r>
      <w:r>
        <w:rPr>
          <w:rFonts w:ascii="Times New Roman" w:hAnsi="Times New Roman" w:cs="Times New Roman"/>
          <w:sz w:val="24"/>
          <w:szCs w:val="24"/>
          <w:lang w:val="en-US"/>
        </w:rPr>
        <w:t>. The Consulting Company shall propose an appropriately qualified and adequately resourced team to deliver the assignm</w:t>
      </w:r>
      <w:r>
        <w:rPr>
          <w:rFonts w:ascii="Times New Roman" w:hAnsi="Times New Roman" w:cs="Times New Roman"/>
          <w:sz w:val="24"/>
          <w:szCs w:val="24"/>
          <w:lang w:val="en-US"/>
        </w:rPr>
        <w:t xml:space="preserve">ent. </w:t>
      </w:r>
    </w:p>
    <w:p w14:paraId="71F8E720" w14:textId="77777777" w:rsidR="00781030" w:rsidRDefault="00B478F0">
      <w:pPr>
        <w:numPr>
          <w:ilvl w:val="255"/>
          <w:numId w:val="0"/>
        </w:numPr>
        <w:tabs>
          <w:tab w:val="left" w:pos="993"/>
        </w:tabs>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Consulting Company shall determine the number, mix, nationality, and level of input of experts required, based on its proposed methodology, work plan and understanding of the assignment.</w:t>
      </w:r>
    </w:p>
    <w:p w14:paraId="74C7BA32" w14:textId="77777777" w:rsidR="00781030" w:rsidRDefault="00B478F0">
      <w:pPr>
        <w:numPr>
          <w:ilvl w:val="255"/>
          <w:numId w:val="0"/>
        </w:numPr>
        <w:tabs>
          <w:tab w:val="left" w:pos="993"/>
        </w:tabs>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proposed team shall collectively demonstrate adequate q</w:t>
      </w:r>
      <w:r>
        <w:rPr>
          <w:rFonts w:ascii="Times New Roman" w:hAnsi="Times New Roman" w:cs="Times New Roman"/>
          <w:sz w:val="24"/>
          <w:szCs w:val="24"/>
          <w:lang w:val="en-US"/>
        </w:rPr>
        <w:t>ualifications and practical experience in areas relevant to the assignment, including MSME and private sector development; business model and business plan development; market and value chain analysis; recovery and growth support for vulnerable enterprises</w:t>
      </w:r>
      <w:r>
        <w:rPr>
          <w:rFonts w:ascii="Times New Roman" w:hAnsi="Times New Roman" w:cs="Times New Roman"/>
          <w:sz w:val="24"/>
          <w:szCs w:val="24"/>
          <w:lang w:val="en-US"/>
        </w:rPr>
        <w:t>; entrepreneurship training and Business Development Services (BDS); women’s economic empowerment; MSME financing, including appropriate Sharia-compliant financing solutions; and monitoring and implementation support.</w:t>
      </w:r>
    </w:p>
    <w:p w14:paraId="2D3F0EDF" w14:textId="77777777" w:rsidR="00781030" w:rsidRDefault="00B478F0">
      <w:pPr>
        <w:numPr>
          <w:ilvl w:val="255"/>
          <w:numId w:val="0"/>
        </w:numPr>
        <w:tabs>
          <w:tab w:val="left" w:pos="993"/>
        </w:tabs>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Team Leader shall have appropriate</w:t>
      </w:r>
      <w:r>
        <w:rPr>
          <w:rFonts w:ascii="Times New Roman" w:hAnsi="Times New Roman" w:cs="Times New Roman"/>
          <w:sz w:val="24"/>
          <w:szCs w:val="24"/>
          <w:lang w:val="en-US"/>
        </w:rPr>
        <w:t xml:space="preserve"> academic qualifications and at least 10 years of relevant professional experience, including demonstrated experience in managing similar complex consultancy assignments. Experience with projects financed by international development organizations or MDBs </w:t>
      </w:r>
      <w:r>
        <w:rPr>
          <w:rFonts w:ascii="Times New Roman" w:hAnsi="Times New Roman" w:cs="Times New Roman"/>
          <w:sz w:val="24"/>
          <w:szCs w:val="24"/>
          <w:lang w:val="en-US"/>
        </w:rPr>
        <w:t>will be an advantage. The Team Leader shall be fluent in written and spoken English and have strong analytical, coordination and report-writing skills.</w:t>
      </w:r>
    </w:p>
    <w:p w14:paraId="672A3A7B" w14:textId="77777777" w:rsidR="00781030" w:rsidRDefault="00B478F0">
      <w:pPr>
        <w:numPr>
          <w:ilvl w:val="255"/>
          <w:numId w:val="0"/>
        </w:numPr>
        <w:tabs>
          <w:tab w:val="left" w:pos="993"/>
        </w:tabs>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forming its team, the Consulting Company shall ensure that the proposed experts collectively possess </w:t>
      </w:r>
      <w:r>
        <w:rPr>
          <w:rFonts w:ascii="Times New Roman" w:hAnsi="Times New Roman" w:cs="Times New Roman"/>
          <w:sz w:val="24"/>
          <w:szCs w:val="24"/>
          <w:lang w:val="en-US"/>
        </w:rPr>
        <w:t>sufficient knowledge, skills and practical experience across all technical areas required for the assignment. The team composition shall adequately cover, among others, MSME and private sector development, business engineering and business model developmen</w:t>
      </w:r>
      <w:r>
        <w:rPr>
          <w:rFonts w:ascii="Times New Roman" w:hAnsi="Times New Roman" w:cs="Times New Roman"/>
          <w:sz w:val="24"/>
          <w:szCs w:val="24"/>
          <w:lang w:val="en-US"/>
        </w:rPr>
        <w:t>t, market and value chain analysis, entrepreneurship and BDS, training and capacity building, women’s economic empowerment, MSME finance and Sharia-compliant financing, monitoring and evaluation, and implementation support. The Consultant shall assign appr</w:t>
      </w:r>
      <w:r>
        <w:rPr>
          <w:rFonts w:ascii="Times New Roman" w:hAnsi="Times New Roman" w:cs="Times New Roman"/>
          <w:sz w:val="24"/>
          <w:szCs w:val="24"/>
          <w:lang w:val="en-US"/>
        </w:rPr>
        <w:t>opriately qualified team members to each relevant area and ensure that the overall team has sufficient capacity to perform all tasks and deliver all outputs specified in the TOR.</w:t>
      </w:r>
    </w:p>
    <w:p w14:paraId="5A1266BC" w14:textId="5E8ACA81"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consultation with the PMU/EA, the Consulting company shall have </w:t>
      </w:r>
      <w:r>
        <w:rPr>
          <w:rFonts w:ascii="Times New Roman" w:hAnsi="Times New Roman" w:cs="Times New Roman"/>
          <w:sz w:val="24"/>
          <w:szCs w:val="24"/>
          <w:lang w:val="en-US"/>
        </w:rPr>
        <w:t>flexibility to adapt timing, sequencing, and the short-term experts’ field/home office time allocations to ensure optimal delivery of the assignment and achievement of its objectives</w:t>
      </w:r>
      <w:r>
        <w:rPr>
          <w:rFonts w:ascii="Times New Roman" w:hAnsi="Times New Roman" w:cs="Times New Roman"/>
          <w:sz w:val="24"/>
          <w:szCs w:val="24"/>
          <w:lang w:val="en-US"/>
        </w:rPr>
        <w:t>.</w:t>
      </w:r>
    </w:p>
    <w:p w14:paraId="0EFC2346" w14:textId="77777777" w:rsidR="00781030" w:rsidRDefault="00781030">
      <w:pPr>
        <w:autoSpaceDE w:val="0"/>
        <w:autoSpaceDN w:val="0"/>
        <w:adjustRightInd w:val="0"/>
        <w:spacing w:after="120" w:line="240" w:lineRule="auto"/>
        <w:ind w:firstLine="567"/>
        <w:jc w:val="both"/>
        <w:rPr>
          <w:rFonts w:ascii="Times New Roman" w:hAnsi="Times New Roman" w:cs="Times New Roman"/>
          <w:sz w:val="24"/>
          <w:szCs w:val="24"/>
          <w:lang w:val="en-US"/>
        </w:rPr>
      </w:pPr>
    </w:p>
    <w:p w14:paraId="79E1FA42"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lastRenderedPageBreak/>
        <w:t>Reporting and other matters</w:t>
      </w:r>
    </w:p>
    <w:p w14:paraId="6D4AC144" w14:textId="77777777"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Consultant is expected to prepare and</w:t>
      </w:r>
      <w:r>
        <w:rPr>
          <w:rFonts w:ascii="Times New Roman" w:hAnsi="Times New Roman" w:cs="Times New Roman"/>
          <w:sz w:val="24"/>
          <w:szCs w:val="24"/>
          <w:lang w:val="en-US"/>
        </w:rPr>
        <w:t xml:space="preserve"> deliver to PMU/EA an </w:t>
      </w:r>
      <w:r>
        <w:rPr>
          <w:rFonts w:ascii="Times New Roman" w:hAnsi="Times New Roman" w:cs="Times New Roman"/>
          <w:i/>
          <w:sz w:val="24"/>
          <w:szCs w:val="24"/>
          <w:lang w:val="en-US"/>
        </w:rPr>
        <w:t>inception report within 1 month</w:t>
      </w:r>
      <w:r>
        <w:rPr>
          <w:rFonts w:ascii="Times New Roman" w:hAnsi="Times New Roman" w:cs="Times New Roman"/>
          <w:sz w:val="24"/>
          <w:szCs w:val="24"/>
          <w:lang w:val="en-US"/>
        </w:rPr>
        <w:t xml:space="preserve"> after commencement of its services and thereafter monthly progress reports describing the progress of the assignment, activities completed, key issues, and any challenges encountered in the reporting pe</w:t>
      </w:r>
      <w:r>
        <w:rPr>
          <w:rFonts w:ascii="Times New Roman" w:hAnsi="Times New Roman" w:cs="Times New Roman"/>
          <w:sz w:val="24"/>
          <w:szCs w:val="24"/>
          <w:lang w:val="en-US"/>
        </w:rPr>
        <w:t>riod.</w:t>
      </w:r>
    </w:p>
    <w:p w14:paraId="67E54151" w14:textId="77777777"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By Month 11, the Consultant shall prepare and deliver a draft report covering the activities undertaken and assessment of the Assignment in terms of meeting its objectives, as well as conclusions and recommendations for future steps and further imple</w:t>
      </w:r>
      <w:r>
        <w:rPr>
          <w:rFonts w:ascii="Times New Roman" w:hAnsi="Times New Roman" w:cs="Times New Roman"/>
          <w:sz w:val="24"/>
          <w:szCs w:val="24"/>
          <w:lang w:val="en-US"/>
        </w:rPr>
        <w:t>mentation of the developed solutions. The draft report shall also summarize the initial implementation experience, results observed during BDS rollout, lessons learned, and any recommended adjustments for further scale-up. The PMU/EA’s comments must be sub</w:t>
      </w:r>
      <w:r>
        <w:rPr>
          <w:rFonts w:ascii="Times New Roman" w:hAnsi="Times New Roman" w:cs="Times New Roman"/>
          <w:sz w:val="24"/>
          <w:szCs w:val="24"/>
          <w:lang w:val="en-US"/>
        </w:rPr>
        <w:t>mitted not later than three weeks after receipt of draft reports. The final report must be delivered not later than one week after the end of the assignment and shall incorporate, as appropriate the PMU/EA’s comments.</w:t>
      </w:r>
    </w:p>
    <w:p w14:paraId="6107A4C1" w14:textId="77777777"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addition, the Consultant shall prom</w:t>
      </w:r>
      <w:r>
        <w:rPr>
          <w:rFonts w:ascii="Times New Roman" w:hAnsi="Times New Roman" w:cs="Times New Roman"/>
          <w:sz w:val="24"/>
          <w:szCs w:val="24"/>
          <w:lang w:val="en-US"/>
        </w:rPr>
        <w:t>ptly inform the PMU/EA of any circumstances that may materially affect the timely or effective achievement of the assignment objectives and propose appropriate corrective measures.</w:t>
      </w:r>
    </w:p>
    <w:p w14:paraId="7D486244" w14:textId="77777777" w:rsidR="00781030" w:rsidRDefault="00B478F0">
      <w:pPr>
        <w:autoSpaceDE w:val="0"/>
        <w:autoSpaceDN w:val="0"/>
        <w:adjustRightInd w:val="0"/>
        <w:spacing w:after="12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All reports shall be submitted in English and Uzbek in electronic form and,</w:t>
      </w:r>
      <w:r>
        <w:rPr>
          <w:rFonts w:ascii="Times New Roman" w:hAnsi="Times New Roman" w:cs="Times New Roman"/>
          <w:sz w:val="24"/>
          <w:szCs w:val="24"/>
          <w:lang w:val="en-US"/>
        </w:rPr>
        <w:t xml:space="preserve"> where requested by the PMU/EA, in printed form. Generally, the reports will summarize all information and explanations, so that the PMU/EA will be in a position to understand the conclusions.</w:t>
      </w:r>
    </w:p>
    <w:p w14:paraId="5CEEC8F5" w14:textId="77777777" w:rsidR="00781030" w:rsidRDefault="00781030">
      <w:pPr>
        <w:autoSpaceDE w:val="0"/>
        <w:autoSpaceDN w:val="0"/>
        <w:adjustRightInd w:val="0"/>
        <w:spacing w:after="120" w:line="240" w:lineRule="auto"/>
        <w:jc w:val="both"/>
        <w:rPr>
          <w:rFonts w:ascii="Times New Roman" w:hAnsi="Times New Roman" w:cs="Times New Roman"/>
          <w:sz w:val="24"/>
          <w:szCs w:val="24"/>
          <w:lang w:val="en-US"/>
        </w:rPr>
      </w:pPr>
    </w:p>
    <w:p w14:paraId="4FA03B64" w14:textId="77777777" w:rsidR="00781030" w:rsidRDefault="00B478F0">
      <w:pPr>
        <w:pStyle w:val="2"/>
        <w:spacing w:before="0" w:after="120"/>
        <w:rPr>
          <w:rFonts w:ascii="Times New Roman" w:hAnsi="Times New Roman" w:cs="Times New Roman"/>
          <w:sz w:val="24"/>
          <w:szCs w:val="24"/>
          <w:lang w:val="en-US"/>
        </w:rPr>
      </w:pPr>
      <w:r>
        <w:rPr>
          <w:rFonts w:ascii="Times New Roman" w:hAnsi="Times New Roman" w:cs="Times New Roman"/>
          <w:sz w:val="24"/>
          <w:szCs w:val="24"/>
          <w:lang w:val="en-US"/>
        </w:rPr>
        <w:t xml:space="preserve">General Eligibility and Compliance Requirements: </w:t>
      </w:r>
    </w:p>
    <w:p w14:paraId="511343BE" w14:textId="77777777" w:rsidR="00781030" w:rsidRDefault="00B478F0">
      <w:p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 xml:space="preserve">Eligibility </w:t>
      </w:r>
      <w:r>
        <w:rPr>
          <w:rFonts w:ascii="Times New Roman" w:eastAsia="Times New Roman" w:hAnsi="Times New Roman" w:cs="Times New Roman"/>
          <w:b/>
          <w:bCs/>
          <w:color w:val="000000"/>
          <w:sz w:val="24"/>
          <w:szCs w:val="24"/>
          <w:lang w:val="en-US"/>
        </w:rPr>
        <w:t>Compliance</w:t>
      </w:r>
    </w:p>
    <w:p w14:paraId="6B1AB6BF" w14:textId="77777777" w:rsidR="00781030" w:rsidRDefault="00B478F0">
      <w:pPr>
        <w:numPr>
          <w:ilvl w:val="0"/>
          <w:numId w:val="6"/>
        </w:num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The Consultant must comply with IsDB eligibility rules (Part 1, Chapter 1, Section 1.11).</w:t>
      </w:r>
    </w:p>
    <w:p w14:paraId="415E39BD" w14:textId="77777777" w:rsidR="00781030" w:rsidRDefault="00B478F0">
      <w:pPr>
        <w:numPr>
          <w:ilvl w:val="0"/>
          <w:numId w:val="6"/>
        </w:num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The Consultant must not be subject to any restrictions, sanctions, or </w:t>
      </w:r>
      <w:r>
        <w:rPr>
          <w:rFonts w:ascii="Times New Roman" w:eastAsia="Times New Roman" w:hAnsi="Times New Roman" w:cs="Times New Roman"/>
          <w:color w:val="000000"/>
          <w:sz w:val="24"/>
          <w:szCs w:val="24"/>
          <w:lang w:val="en-US"/>
        </w:rPr>
        <w:t>debarment by IsDB or any other major international financing institution.</w:t>
      </w:r>
    </w:p>
    <w:p w14:paraId="56D9D79C" w14:textId="77777777" w:rsidR="00781030" w:rsidRDefault="00B478F0">
      <w:pPr>
        <w:numPr>
          <w:ilvl w:val="0"/>
          <w:numId w:val="6"/>
        </w:num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The Consultant must be free from any conflict of interest that could give rise to a competitive advantage.</w:t>
      </w:r>
    </w:p>
    <w:p w14:paraId="7E314E3D" w14:textId="77777777" w:rsidR="00781030" w:rsidRDefault="00B478F0">
      <w:p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Relevant Experience and Performance</w:t>
      </w:r>
    </w:p>
    <w:p w14:paraId="449380CE" w14:textId="77777777" w:rsidR="00781030" w:rsidRDefault="00B478F0">
      <w:pPr>
        <w:numPr>
          <w:ilvl w:val="0"/>
          <w:numId w:val="7"/>
        </w:num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The Consultant must </w:t>
      </w:r>
      <w:r>
        <w:rPr>
          <w:rFonts w:ascii="Times New Roman" w:eastAsia="Times New Roman" w:hAnsi="Times New Roman" w:cs="Times New Roman"/>
          <w:color w:val="000000"/>
          <w:sz w:val="24"/>
          <w:szCs w:val="24"/>
          <w:lang w:val="en-US"/>
        </w:rPr>
        <w:t>demonstrate at least </w:t>
      </w:r>
      <w:r>
        <w:rPr>
          <w:rFonts w:ascii="Times New Roman" w:eastAsia="Times New Roman" w:hAnsi="Times New Roman" w:cs="Times New Roman"/>
          <w:b/>
          <w:bCs/>
          <w:color w:val="000000"/>
          <w:sz w:val="24"/>
          <w:szCs w:val="24"/>
          <w:lang w:val="en-US"/>
        </w:rPr>
        <w:t>5 years of experience</w:t>
      </w:r>
      <w:r>
        <w:rPr>
          <w:rFonts w:ascii="Times New Roman" w:eastAsia="Times New Roman" w:hAnsi="Times New Roman" w:cs="Times New Roman"/>
          <w:color w:val="000000"/>
          <w:sz w:val="24"/>
          <w:szCs w:val="24"/>
          <w:lang w:val="en-US"/>
        </w:rPr>
        <w:t> in providing consulting services in MSME development, financial services, Islamic finance, and capacity building.</w:t>
      </w:r>
    </w:p>
    <w:p w14:paraId="69C14868" w14:textId="77777777" w:rsidR="00781030" w:rsidRDefault="00B478F0">
      <w:pPr>
        <w:numPr>
          <w:ilvl w:val="0"/>
          <w:numId w:val="7"/>
        </w:num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The Consultant must have successfully implemented at least </w:t>
      </w:r>
      <w:r>
        <w:rPr>
          <w:rFonts w:ascii="Times New Roman" w:eastAsia="Times New Roman" w:hAnsi="Times New Roman" w:cs="Times New Roman"/>
          <w:b/>
          <w:bCs/>
          <w:color w:val="000000"/>
          <w:sz w:val="24"/>
          <w:szCs w:val="24"/>
          <w:lang w:val="en-US"/>
        </w:rPr>
        <w:t>two (2) similar projects</w:t>
      </w:r>
      <w:r>
        <w:rPr>
          <w:rFonts w:ascii="Times New Roman" w:eastAsia="Times New Roman" w:hAnsi="Times New Roman" w:cs="Times New Roman"/>
          <w:color w:val="000000"/>
          <w:sz w:val="24"/>
          <w:szCs w:val="24"/>
          <w:lang w:val="en-US"/>
        </w:rPr>
        <w:t> in the last </w:t>
      </w:r>
      <w:r>
        <w:rPr>
          <w:rFonts w:ascii="Times New Roman" w:eastAsia="Times New Roman" w:hAnsi="Times New Roman" w:cs="Times New Roman"/>
          <w:b/>
          <w:bCs/>
          <w:color w:val="000000"/>
          <w:sz w:val="24"/>
          <w:szCs w:val="24"/>
          <w:lang w:val="en-US"/>
        </w:rPr>
        <w:t>fiv</w:t>
      </w:r>
      <w:r>
        <w:rPr>
          <w:rFonts w:ascii="Times New Roman" w:eastAsia="Times New Roman" w:hAnsi="Times New Roman" w:cs="Times New Roman"/>
          <w:b/>
          <w:bCs/>
          <w:color w:val="000000"/>
          <w:sz w:val="24"/>
          <w:szCs w:val="24"/>
          <w:lang w:val="en-US"/>
        </w:rPr>
        <w:t>e (5) years</w:t>
      </w:r>
      <w:r>
        <w:rPr>
          <w:rFonts w:ascii="Times New Roman" w:eastAsia="Times New Roman" w:hAnsi="Times New Roman" w:cs="Times New Roman"/>
          <w:color w:val="000000"/>
          <w:sz w:val="24"/>
          <w:szCs w:val="24"/>
          <w:lang w:val="en-US"/>
        </w:rPr>
        <w:t>, preferably in Central Asia or similar emerging markets.</w:t>
      </w:r>
    </w:p>
    <w:p w14:paraId="3703BB5D" w14:textId="77777777" w:rsidR="00781030" w:rsidRDefault="00B478F0">
      <w:pPr>
        <w:numPr>
          <w:ilvl w:val="0"/>
          <w:numId w:val="7"/>
        </w:num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Experience </w:t>
      </w:r>
      <w:proofErr w:type="gramStart"/>
      <w:r>
        <w:rPr>
          <w:rFonts w:ascii="Times New Roman" w:eastAsia="Times New Roman" w:hAnsi="Times New Roman" w:cs="Times New Roman"/>
          <w:color w:val="000000"/>
          <w:sz w:val="24"/>
          <w:szCs w:val="24"/>
          <w:lang w:val="en-US"/>
        </w:rPr>
        <w:t>with </w:t>
      </w:r>
      <w:r>
        <w:rPr>
          <w:rFonts w:ascii="Times New Roman" w:eastAsia="Times New Roman" w:hAnsi="Times New Roman" w:cs="Times New Roman"/>
          <w:b/>
          <w:bCs/>
          <w:color w:val="000000"/>
          <w:sz w:val="24"/>
          <w:szCs w:val="24"/>
          <w:lang w:val="en-US"/>
        </w:rPr>
        <w:t xml:space="preserve"> economic</w:t>
      </w:r>
      <w:proofErr w:type="gramEnd"/>
      <w:r>
        <w:rPr>
          <w:rFonts w:ascii="Times New Roman" w:eastAsia="Times New Roman" w:hAnsi="Times New Roman" w:cs="Times New Roman"/>
          <w:b/>
          <w:bCs/>
          <w:color w:val="000000"/>
          <w:sz w:val="24"/>
          <w:szCs w:val="24"/>
          <w:lang w:val="en-US"/>
        </w:rPr>
        <w:t xml:space="preserve"> empowerment programs</w:t>
      </w:r>
      <w:r>
        <w:rPr>
          <w:rFonts w:ascii="Times New Roman" w:eastAsia="Times New Roman" w:hAnsi="Times New Roman" w:cs="Times New Roman"/>
          <w:color w:val="000000"/>
          <w:sz w:val="24"/>
          <w:szCs w:val="24"/>
          <w:lang w:val="en-US"/>
        </w:rPr>
        <w:t> is required, particularly in the development and implementation of Sharia-compliant financial products and services.</w:t>
      </w:r>
    </w:p>
    <w:p w14:paraId="2537A2BF" w14:textId="77777777" w:rsidR="00781030" w:rsidRDefault="00B478F0">
      <w:pPr>
        <w:numPr>
          <w:ilvl w:val="0"/>
          <w:numId w:val="7"/>
        </w:numPr>
        <w:spacing w:after="12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The Consultant must hav</w:t>
      </w:r>
      <w:r>
        <w:rPr>
          <w:rFonts w:ascii="Times New Roman" w:eastAsia="Times New Roman" w:hAnsi="Times New Roman" w:cs="Times New Roman"/>
          <w:color w:val="000000"/>
          <w:sz w:val="24"/>
          <w:szCs w:val="24"/>
          <w:lang w:val="en-US"/>
        </w:rPr>
        <w:t>e experience working with MDB’s, or similar organizations.</w:t>
      </w:r>
    </w:p>
    <w:p w14:paraId="626B498F" w14:textId="77777777" w:rsidR="00781030" w:rsidRDefault="00781030">
      <w:pPr>
        <w:autoSpaceDE w:val="0"/>
        <w:autoSpaceDN w:val="0"/>
        <w:adjustRightInd w:val="0"/>
        <w:spacing w:after="120" w:line="240" w:lineRule="auto"/>
        <w:rPr>
          <w:rFonts w:ascii="Times New Roman" w:hAnsi="Times New Roman" w:cs="Times New Roman"/>
          <w:b/>
          <w:sz w:val="24"/>
          <w:szCs w:val="24"/>
          <w:lang w:val="en-US"/>
        </w:rPr>
        <w:sectPr w:rsidR="00781030">
          <w:headerReference w:type="default" r:id="rId12"/>
          <w:footerReference w:type="default" r:id="rId13"/>
          <w:pgSz w:w="12240" w:h="15840"/>
          <w:pgMar w:top="1440" w:right="1440" w:bottom="1440" w:left="1440" w:header="720" w:footer="720" w:gutter="0"/>
          <w:cols w:space="720"/>
          <w:docGrid w:linePitch="360"/>
        </w:sectPr>
      </w:pPr>
    </w:p>
    <w:p w14:paraId="48F1DA6D" w14:textId="77777777" w:rsidR="00781030" w:rsidRDefault="00B478F0">
      <w:pPr>
        <w:pStyle w:val="Annex"/>
        <w:spacing w:before="0" w:after="120" w:line="240" w:lineRule="auto"/>
        <w:rPr>
          <w:rFonts w:ascii="Times New Roman" w:hAnsi="Times New Roman" w:cs="Times New Roman"/>
          <w:szCs w:val="24"/>
        </w:rPr>
      </w:pPr>
      <w:r>
        <w:rPr>
          <w:rFonts w:ascii="Times New Roman" w:hAnsi="Times New Roman" w:cs="Times New Roman"/>
          <w:szCs w:val="24"/>
        </w:rPr>
        <w:lastRenderedPageBreak/>
        <w:t xml:space="preserve">Annex 1  </w:t>
      </w:r>
    </w:p>
    <w:p w14:paraId="01555B86" w14:textId="77777777" w:rsidR="00781030" w:rsidRDefault="00B478F0">
      <w:pPr>
        <w:autoSpaceDE w:val="0"/>
        <w:autoSpaceDN w:val="0"/>
        <w:adjustRightInd w:val="0"/>
        <w:spacing w:after="12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IsDB Economic Empowerment Approach (“EEA”)</w:t>
      </w:r>
    </w:p>
    <w:p w14:paraId="42A4C194" w14:textId="77777777" w:rsidR="00781030" w:rsidRDefault="00781030">
      <w:pPr>
        <w:autoSpaceDE w:val="0"/>
        <w:autoSpaceDN w:val="0"/>
        <w:adjustRightInd w:val="0"/>
        <w:spacing w:after="120" w:line="240" w:lineRule="auto"/>
        <w:jc w:val="lowKashida"/>
        <w:rPr>
          <w:rFonts w:ascii="Times New Roman" w:hAnsi="Times New Roman" w:cs="Times New Roman"/>
          <w:b/>
          <w:sz w:val="24"/>
          <w:szCs w:val="24"/>
          <w:lang w:val="en-US"/>
        </w:rPr>
      </w:pPr>
    </w:p>
    <w:p w14:paraId="45A31073" w14:textId="77777777" w:rsidR="00781030" w:rsidRDefault="00B478F0">
      <w:pPr>
        <w:autoSpaceDE w:val="0"/>
        <w:autoSpaceDN w:val="0"/>
        <w:adjustRightInd w:val="0"/>
        <w:spacing w:after="120" w:line="240" w:lineRule="auto"/>
        <w:jc w:val="lowKashida"/>
        <w:rPr>
          <w:rFonts w:ascii="Times New Roman" w:hAnsi="Times New Roman" w:cs="Times New Roman"/>
          <w:b/>
          <w:sz w:val="24"/>
          <w:szCs w:val="24"/>
          <w:lang w:val="en-US"/>
        </w:rPr>
      </w:pPr>
      <w:r>
        <w:rPr>
          <w:rFonts w:ascii="Times New Roman" w:hAnsi="Times New Roman" w:cs="Times New Roman"/>
          <w:b/>
          <w:sz w:val="24"/>
          <w:szCs w:val="24"/>
          <w:lang w:val="en-US"/>
        </w:rPr>
        <w:t>From Financial Inclusion to Economic Inclusion</w:t>
      </w:r>
    </w:p>
    <w:p w14:paraId="1BBAEE3C" w14:textId="77777777" w:rsidR="00781030" w:rsidRDefault="00B478F0">
      <w:pPr>
        <w:numPr>
          <w:ilvl w:val="0"/>
          <w:numId w:val="8"/>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 xml:space="preserve">The EEA considers the multi-facet needs of the poor, which goes </w:t>
      </w:r>
      <w:r>
        <w:rPr>
          <w:rFonts w:ascii="Times New Roman" w:hAnsi="Times New Roman" w:cs="Times New Roman"/>
          <w:b/>
          <w:sz w:val="24"/>
          <w:szCs w:val="24"/>
          <w:lang w:val="en-US"/>
        </w:rPr>
        <w:t>beyond financial services</w:t>
      </w:r>
      <w:r>
        <w:rPr>
          <w:rFonts w:ascii="Times New Roman" w:hAnsi="Times New Roman" w:cs="Times New Roman"/>
          <w:sz w:val="24"/>
          <w:szCs w:val="24"/>
          <w:lang w:val="en-US"/>
        </w:rPr>
        <w:t xml:space="preserve"> to cover the most important </w:t>
      </w:r>
      <w:r>
        <w:rPr>
          <w:rFonts w:ascii="Times New Roman" w:hAnsi="Times New Roman" w:cs="Times New Roman"/>
          <w:b/>
          <w:sz w:val="24"/>
          <w:szCs w:val="24"/>
          <w:lang w:val="en-US"/>
        </w:rPr>
        <w:t>non-financial services</w:t>
      </w:r>
      <w:r>
        <w:rPr>
          <w:rFonts w:ascii="Times New Roman" w:hAnsi="Times New Roman" w:cs="Times New Roman"/>
          <w:sz w:val="24"/>
          <w:szCs w:val="24"/>
          <w:lang w:val="en-US"/>
        </w:rPr>
        <w:t xml:space="preserve">. The latter services have the strong potential to make the financial services/support efficient and with </w:t>
      </w:r>
      <w:r>
        <w:rPr>
          <w:rFonts w:ascii="Times New Roman" w:hAnsi="Times New Roman" w:cs="Times New Roman"/>
          <w:b/>
          <w:sz w:val="24"/>
          <w:szCs w:val="24"/>
          <w:lang w:val="en-US"/>
        </w:rPr>
        <w:t>sustainabl</w:t>
      </w:r>
      <w:r>
        <w:rPr>
          <w:rFonts w:ascii="Times New Roman" w:hAnsi="Times New Roman" w:cs="Times New Roman"/>
          <w:b/>
          <w:sz w:val="24"/>
          <w:szCs w:val="24"/>
          <w:lang w:val="en-US"/>
        </w:rPr>
        <w:t>e impact on the poor’s conditions</w:t>
      </w:r>
      <w:r>
        <w:rPr>
          <w:rFonts w:ascii="Times New Roman" w:hAnsi="Times New Roman" w:cs="Times New Roman"/>
          <w:sz w:val="24"/>
          <w:szCs w:val="24"/>
          <w:lang w:val="en-US"/>
        </w:rPr>
        <w:t xml:space="preserve">, as they facilitate its inclusion as an </w:t>
      </w:r>
      <w:r>
        <w:rPr>
          <w:rFonts w:ascii="Times New Roman" w:hAnsi="Times New Roman" w:cs="Times New Roman"/>
          <w:b/>
          <w:sz w:val="24"/>
          <w:szCs w:val="24"/>
          <w:lang w:val="en-US"/>
        </w:rPr>
        <w:t>active actor in the real economy.</w:t>
      </w:r>
      <w:r>
        <w:rPr>
          <w:rFonts w:ascii="Times New Roman" w:hAnsi="Times New Roman" w:cs="Times New Roman"/>
          <w:sz w:val="24"/>
          <w:szCs w:val="24"/>
          <w:lang w:val="en-US"/>
        </w:rPr>
        <w:t xml:space="preserve"> </w:t>
      </w:r>
    </w:p>
    <w:p w14:paraId="6D524132" w14:textId="77777777" w:rsidR="00781030" w:rsidRDefault="00B478F0">
      <w:pPr>
        <w:numPr>
          <w:ilvl w:val="0"/>
          <w:numId w:val="8"/>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 xml:space="preserve">The EEA also recognize the importance of providing the poor with access to not-for-profit financial and non-financial services for the potentially </w:t>
      </w:r>
      <w:r>
        <w:rPr>
          <w:rFonts w:ascii="Times New Roman" w:hAnsi="Times New Roman" w:cs="Times New Roman"/>
          <w:sz w:val="24"/>
          <w:szCs w:val="24"/>
          <w:lang w:val="en-US"/>
        </w:rPr>
        <w:t xml:space="preserve">active poor through </w:t>
      </w:r>
      <w:r>
        <w:rPr>
          <w:rFonts w:ascii="Times New Roman" w:hAnsi="Times New Roman" w:cs="Times New Roman"/>
          <w:b/>
          <w:sz w:val="24"/>
          <w:szCs w:val="24"/>
          <w:lang w:val="en-US"/>
        </w:rPr>
        <w:t>Islamic Social Finance</w:t>
      </w:r>
      <w:r>
        <w:rPr>
          <w:rFonts w:ascii="Times New Roman" w:hAnsi="Times New Roman" w:cs="Times New Roman"/>
          <w:sz w:val="24"/>
          <w:szCs w:val="24"/>
          <w:lang w:val="en-US"/>
        </w:rPr>
        <w:t xml:space="preserve"> to help them satisfy their primary needs and consequently enable them to “graduate” and focus on most rewarding economic endeavors enabling them to reach full economic inclusion.</w:t>
      </w:r>
    </w:p>
    <w:p w14:paraId="079C0D5C" w14:textId="77777777" w:rsidR="00781030" w:rsidRDefault="00B478F0">
      <w:pPr>
        <w:numPr>
          <w:ilvl w:val="0"/>
          <w:numId w:val="8"/>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The EEA starts by endeavoring to d</w:t>
      </w:r>
      <w:r>
        <w:rPr>
          <w:rFonts w:ascii="Times New Roman" w:hAnsi="Times New Roman" w:cs="Times New Roman"/>
          <w:sz w:val="24"/>
          <w:szCs w:val="24"/>
          <w:lang w:val="en-US"/>
        </w:rPr>
        <w:t>esign innovative interventions that take into account (</w:t>
      </w:r>
      <w:r>
        <w:rPr>
          <w:rFonts w:ascii="Times New Roman" w:hAnsi="Times New Roman" w:cs="Times New Roman"/>
          <w:b/>
          <w:sz w:val="24"/>
          <w:szCs w:val="24"/>
          <w:lang w:val="en-US"/>
        </w:rPr>
        <w:t>a) Engineering of Profitable Business/Investment Opportunities (b) Providing Capacity Building/Development (c) Providing Supporting Basic Infrastructure (d) Building Smart Partnerships with the Public,</w:t>
      </w:r>
      <w:r>
        <w:rPr>
          <w:rFonts w:ascii="Times New Roman" w:hAnsi="Times New Roman" w:cs="Times New Roman"/>
          <w:b/>
          <w:sz w:val="24"/>
          <w:szCs w:val="24"/>
          <w:lang w:val="en-US"/>
        </w:rPr>
        <w:t xml:space="preserve"> Private &amp; Third Sectors Actors (e) Access to Appropriate Financing and (f) Access to Relevant Markets</w:t>
      </w:r>
      <w:r>
        <w:rPr>
          <w:rFonts w:ascii="Times New Roman" w:hAnsi="Times New Roman" w:cs="Times New Roman"/>
          <w:sz w:val="24"/>
          <w:szCs w:val="24"/>
          <w:lang w:val="en-US"/>
        </w:rPr>
        <w:t>. Thus, a solid and sustainable ecosystem is built in collaboration with strategic partners around the end-beneficiary.</w:t>
      </w:r>
    </w:p>
    <w:p w14:paraId="08B92F02" w14:textId="77777777" w:rsidR="00781030" w:rsidRDefault="00781030">
      <w:pPr>
        <w:autoSpaceDE w:val="0"/>
        <w:autoSpaceDN w:val="0"/>
        <w:adjustRightInd w:val="0"/>
        <w:spacing w:after="120" w:line="240" w:lineRule="auto"/>
        <w:jc w:val="lowKashida"/>
        <w:rPr>
          <w:rFonts w:ascii="Times New Roman" w:hAnsi="Times New Roman" w:cs="Times New Roman"/>
          <w:b/>
          <w:i/>
          <w:sz w:val="24"/>
          <w:szCs w:val="24"/>
          <w:lang w:val="en-US"/>
        </w:rPr>
      </w:pPr>
      <w:bookmarkStart w:id="1" w:name="_Toc120016044"/>
    </w:p>
    <w:p w14:paraId="434D1620" w14:textId="77777777" w:rsidR="00781030" w:rsidRDefault="00B478F0">
      <w:pPr>
        <w:autoSpaceDE w:val="0"/>
        <w:autoSpaceDN w:val="0"/>
        <w:adjustRightInd w:val="0"/>
        <w:spacing w:after="120" w:line="240" w:lineRule="auto"/>
        <w:jc w:val="lowKashida"/>
        <w:rPr>
          <w:rFonts w:ascii="Times New Roman" w:hAnsi="Times New Roman" w:cs="Times New Roman"/>
          <w:b/>
          <w:i/>
          <w:sz w:val="24"/>
          <w:szCs w:val="24"/>
          <w:lang w:val="en-US"/>
        </w:rPr>
      </w:pPr>
      <w:r>
        <w:rPr>
          <w:rFonts w:ascii="Times New Roman" w:hAnsi="Times New Roman" w:cs="Times New Roman"/>
          <w:b/>
          <w:i/>
          <w:sz w:val="24"/>
          <w:szCs w:val="24"/>
          <w:lang w:val="en-US"/>
        </w:rPr>
        <w:t>Targeted Paradigm Shift from Fina</w:t>
      </w:r>
      <w:r>
        <w:rPr>
          <w:rFonts w:ascii="Times New Roman" w:hAnsi="Times New Roman" w:cs="Times New Roman"/>
          <w:b/>
          <w:i/>
          <w:sz w:val="24"/>
          <w:szCs w:val="24"/>
          <w:lang w:val="en-US"/>
        </w:rPr>
        <w:t>ncial to Economic Inclusion</w:t>
      </w:r>
      <w:bookmarkEnd w:id="1"/>
    </w:p>
    <w:p w14:paraId="7F569E84" w14:textId="77777777" w:rsidR="00781030" w:rsidRDefault="00B478F0">
      <w:pPr>
        <w:numPr>
          <w:ilvl w:val="0"/>
          <w:numId w:val="9"/>
        </w:numPr>
        <w:autoSpaceDE w:val="0"/>
        <w:autoSpaceDN w:val="0"/>
        <w:adjustRightInd w:val="0"/>
        <w:spacing w:after="120" w:line="240" w:lineRule="auto"/>
        <w:jc w:val="lowKashida"/>
        <w:rPr>
          <w:rFonts w:ascii="Times New Roman" w:hAnsi="Times New Roman" w:cs="Times New Roman"/>
          <w:b/>
          <w:sz w:val="24"/>
          <w:szCs w:val="24"/>
          <w:lang w:val="en-US"/>
        </w:rPr>
      </w:pPr>
      <w:r>
        <w:rPr>
          <w:rFonts w:ascii="Times New Roman" w:hAnsi="Times New Roman" w:cs="Times New Roman"/>
          <w:noProof/>
          <w:sz w:val="24"/>
          <w:szCs w:val="24"/>
          <w:lang w:val="en-US"/>
        </w:rPr>
        <w:drawing>
          <wp:inline distT="0" distB="0" distL="0" distR="0" wp14:anchorId="2CC41B30" wp14:editId="7A53DC99">
            <wp:extent cx="5029200" cy="3286125"/>
            <wp:effectExtent l="0" t="0" r="0" b="9525"/>
            <wp:docPr id="2020694879" name="Picture 202069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694879" name="Picture 2020694879"/>
                    <pic:cNvPicPr>
                      <a:picLocks noChangeAspect="1"/>
                    </pic:cNvPicPr>
                  </pic:nvPicPr>
                  <pic:blipFill>
                    <a:blip r:embed="rId14"/>
                    <a:stretch>
                      <a:fillRect/>
                    </a:stretch>
                  </pic:blipFill>
                  <pic:spPr>
                    <a:xfrm>
                      <a:off x="0" y="0"/>
                      <a:ext cx="5029200" cy="3286125"/>
                    </a:xfrm>
                    <a:prstGeom prst="rect">
                      <a:avLst/>
                    </a:prstGeom>
                  </pic:spPr>
                </pic:pic>
              </a:graphicData>
            </a:graphic>
          </wp:inline>
        </w:drawing>
      </w:r>
    </w:p>
    <w:p w14:paraId="390C2670" w14:textId="77777777" w:rsidR="00781030" w:rsidRDefault="00B478F0">
      <w:pPr>
        <w:autoSpaceDE w:val="0"/>
        <w:autoSpaceDN w:val="0"/>
        <w:adjustRightInd w:val="0"/>
        <w:spacing w:after="120" w:line="240" w:lineRule="auto"/>
        <w:jc w:val="lowKashida"/>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22B7387" w14:textId="77777777" w:rsidR="00781030" w:rsidRDefault="00B478F0">
      <w:pPr>
        <w:pStyle w:val="afa"/>
        <w:numPr>
          <w:ilvl w:val="0"/>
          <w:numId w:val="9"/>
        </w:numPr>
        <w:autoSpaceDE w:val="0"/>
        <w:autoSpaceDN w:val="0"/>
        <w:adjustRightInd w:val="0"/>
        <w:spacing w:after="120" w:line="240" w:lineRule="auto"/>
        <w:contextualSpacing w:val="0"/>
        <w:jc w:val="lowKashida"/>
        <w:rPr>
          <w:rFonts w:ascii="Times New Roman" w:eastAsiaTheme="minorEastAsia" w:hAnsi="Times New Roman" w:cs="Times New Roman"/>
          <w:b/>
          <w:sz w:val="24"/>
          <w:szCs w:val="24"/>
          <w:lang w:val="en-US"/>
        </w:rPr>
      </w:pPr>
      <w:bookmarkStart w:id="2" w:name="_Toc120016049"/>
      <w:r>
        <w:rPr>
          <w:rFonts w:ascii="Times New Roman" w:eastAsiaTheme="minorEastAsia" w:hAnsi="Times New Roman" w:cs="Times New Roman"/>
          <w:b/>
          <w:sz w:val="24"/>
          <w:szCs w:val="24"/>
          <w:lang w:val="en-US"/>
        </w:rPr>
        <w:lastRenderedPageBreak/>
        <w:t xml:space="preserve">Economic Empowerment </w:t>
      </w:r>
      <w:bookmarkEnd w:id="2"/>
      <w:r>
        <w:rPr>
          <w:rFonts w:ascii="Times New Roman" w:eastAsiaTheme="minorEastAsia" w:hAnsi="Times New Roman" w:cs="Times New Roman"/>
          <w:b/>
          <w:sz w:val="24"/>
          <w:szCs w:val="24"/>
          <w:lang w:val="en-US"/>
        </w:rPr>
        <w:t>Business Model in the Field</w:t>
      </w:r>
    </w:p>
    <w:p w14:paraId="77FBB78A" w14:textId="77777777" w:rsidR="00781030" w:rsidRDefault="00781030">
      <w:pPr>
        <w:autoSpaceDE w:val="0"/>
        <w:autoSpaceDN w:val="0"/>
        <w:adjustRightInd w:val="0"/>
        <w:spacing w:after="120" w:line="240" w:lineRule="auto"/>
        <w:jc w:val="lowKashida"/>
        <w:rPr>
          <w:rFonts w:ascii="Times New Roman" w:hAnsi="Times New Roman" w:cs="Times New Roman"/>
          <w:b/>
          <w:sz w:val="24"/>
          <w:szCs w:val="24"/>
          <w:lang w:val="en-US"/>
        </w:rPr>
      </w:pPr>
    </w:p>
    <w:p w14:paraId="0EBD1D80" w14:textId="77777777" w:rsidR="00781030" w:rsidRDefault="00781030">
      <w:pPr>
        <w:autoSpaceDE w:val="0"/>
        <w:autoSpaceDN w:val="0"/>
        <w:adjustRightInd w:val="0"/>
        <w:spacing w:after="120" w:line="240" w:lineRule="auto"/>
        <w:jc w:val="lowKashida"/>
        <w:rPr>
          <w:rFonts w:ascii="Times New Roman" w:hAnsi="Times New Roman" w:cs="Times New Roman"/>
          <w:b/>
          <w:sz w:val="24"/>
          <w:szCs w:val="24"/>
          <w:lang w:val="en-US"/>
        </w:rPr>
      </w:pPr>
    </w:p>
    <w:p w14:paraId="08216E6D" w14:textId="77777777" w:rsidR="00781030" w:rsidRDefault="00B478F0">
      <w:pPr>
        <w:autoSpaceDE w:val="0"/>
        <w:autoSpaceDN w:val="0"/>
        <w:adjustRightInd w:val="0"/>
        <w:spacing w:after="12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7E42C374" wp14:editId="62512C4E">
            <wp:extent cx="5921375" cy="2555875"/>
            <wp:effectExtent l="0" t="0" r="3175" b="0"/>
            <wp:docPr id="2020694592" name="Picture 2020694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694592" name="Picture 202069459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940900" cy="2564710"/>
                    </a:xfrm>
                    <a:prstGeom prst="rect">
                      <a:avLst/>
                    </a:prstGeom>
                    <a:noFill/>
                  </pic:spPr>
                </pic:pic>
              </a:graphicData>
            </a:graphic>
          </wp:inline>
        </w:drawing>
      </w:r>
    </w:p>
    <w:p w14:paraId="0596048C" w14:textId="77777777" w:rsidR="00781030" w:rsidRDefault="00781030">
      <w:pPr>
        <w:autoSpaceDE w:val="0"/>
        <w:autoSpaceDN w:val="0"/>
        <w:adjustRightInd w:val="0"/>
        <w:spacing w:after="120" w:line="240" w:lineRule="auto"/>
        <w:jc w:val="lowKashida"/>
        <w:rPr>
          <w:rFonts w:ascii="Times New Roman" w:hAnsi="Times New Roman" w:cs="Times New Roman"/>
          <w:sz w:val="24"/>
          <w:szCs w:val="24"/>
          <w:lang w:val="en-US"/>
        </w:rPr>
      </w:pPr>
    </w:p>
    <w:p w14:paraId="67392422" w14:textId="77777777" w:rsidR="00781030" w:rsidRDefault="00781030">
      <w:pPr>
        <w:autoSpaceDE w:val="0"/>
        <w:autoSpaceDN w:val="0"/>
        <w:adjustRightInd w:val="0"/>
        <w:spacing w:after="120" w:line="240" w:lineRule="auto"/>
        <w:jc w:val="center"/>
        <w:rPr>
          <w:rFonts w:ascii="Times New Roman" w:hAnsi="Times New Roman" w:cs="Times New Roman"/>
          <w:b/>
          <w:sz w:val="24"/>
          <w:szCs w:val="24"/>
          <w:lang w:val="en-US"/>
        </w:rPr>
      </w:pPr>
    </w:p>
    <w:p w14:paraId="162C0BD0" w14:textId="77777777" w:rsidR="00781030" w:rsidRDefault="00781030">
      <w:pPr>
        <w:autoSpaceDE w:val="0"/>
        <w:autoSpaceDN w:val="0"/>
        <w:adjustRightInd w:val="0"/>
        <w:spacing w:after="120" w:line="240" w:lineRule="auto"/>
        <w:jc w:val="center"/>
        <w:rPr>
          <w:rFonts w:ascii="Times New Roman" w:hAnsi="Times New Roman" w:cs="Times New Roman"/>
          <w:b/>
          <w:sz w:val="24"/>
          <w:szCs w:val="24"/>
          <w:lang w:val="en-US"/>
        </w:rPr>
      </w:pPr>
    </w:p>
    <w:p w14:paraId="32CDEDC6" w14:textId="77777777" w:rsidR="00781030" w:rsidRDefault="00781030">
      <w:pPr>
        <w:autoSpaceDE w:val="0"/>
        <w:autoSpaceDN w:val="0"/>
        <w:adjustRightInd w:val="0"/>
        <w:spacing w:after="120" w:line="240" w:lineRule="auto"/>
        <w:jc w:val="center"/>
        <w:rPr>
          <w:rFonts w:ascii="Times New Roman" w:hAnsi="Times New Roman" w:cs="Times New Roman"/>
          <w:b/>
          <w:sz w:val="24"/>
          <w:szCs w:val="24"/>
          <w:lang w:val="en-US"/>
        </w:rPr>
      </w:pPr>
    </w:p>
    <w:p w14:paraId="21279C26" w14:textId="77777777" w:rsidR="00781030" w:rsidRDefault="00B478F0">
      <w:pPr>
        <w:spacing w:after="120" w:line="240" w:lineRule="auto"/>
        <w:rPr>
          <w:rFonts w:ascii="Times New Roman" w:hAnsi="Times New Roman" w:cs="Times New Roman"/>
          <w:b/>
          <w:sz w:val="24"/>
          <w:szCs w:val="24"/>
          <w:lang w:val="en-US"/>
        </w:rPr>
      </w:pPr>
      <w:r>
        <w:rPr>
          <w:rFonts w:ascii="Times New Roman" w:hAnsi="Times New Roman" w:cs="Times New Roman"/>
          <w:b/>
          <w:bCs/>
          <w:sz w:val="24"/>
          <w:szCs w:val="24"/>
          <w:lang w:val="en-US"/>
        </w:rPr>
        <w:br w:type="page"/>
      </w:r>
    </w:p>
    <w:p w14:paraId="079E21C5" w14:textId="77777777" w:rsidR="00781030" w:rsidRDefault="00B478F0">
      <w:pPr>
        <w:pStyle w:val="Annex"/>
        <w:spacing w:before="0" w:after="120" w:line="240" w:lineRule="auto"/>
        <w:rPr>
          <w:rFonts w:ascii="Times New Roman" w:hAnsi="Times New Roman" w:cs="Times New Roman"/>
          <w:szCs w:val="24"/>
        </w:rPr>
      </w:pPr>
      <w:r>
        <w:rPr>
          <w:rFonts w:ascii="Times New Roman" w:hAnsi="Times New Roman" w:cs="Times New Roman"/>
          <w:szCs w:val="24"/>
        </w:rPr>
        <w:lastRenderedPageBreak/>
        <w:t>Annex 2</w:t>
      </w:r>
    </w:p>
    <w:p w14:paraId="58822C60" w14:textId="77777777" w:rsidR="00781030" w:rsidRDefault="00781030">
      <w:pPr>
        <w:autoSpaceDE w:val="0"/>
        <w:autoSpaceDN w:val="0"/>
        <w:adjustRightInd w:val="0"/>
        <w:spacing w:after="120" w:line="240" w:lineRule="auto"/>
        <w:jc w:val="center"/>
        <w:rPr>
          <w:rFonts w:ascii="Times New Roman" w:hAnsi="Times New Roman" w:cs="Times New Roman"/>
          <w:b/>
          <w:sz w:val="24"/>
          <w:szCs w:val="24"/>
          <w:lang w:val="en-US"/>
        </w:rPr>
      </w:pPr>
    </w:p>
    <w:p w14:paraId="14ED465B" w14:textId="77777777" w:rsidR="00781030" w:rsidRDefault="00B478F0">
      <w:pPr>
        <w:autoSpaceDE w:val="0"/>
        <w:autoSpaceDN w:val="0"/>
        <w:adjustRightInd w:val="0"/>
        <w:spacing w:after="12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Terms for business models</w:t>
      </w:r>
    </w:p>
    <w:p w14:paraId="6DB0BE9D"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 xml:space="preserve">This section outlines the detailed criteria for selecting and developing business activity types, with a strong focus on </w:t>
      </w:r>
      <w:r>
        <w:rPr>
          <w:rFonts w:ascii="Times New Roman" w:hAnsi="Times New Roman" w:cs="Times New Roman"/>
          <w:sz w:val="24"/>
          <w:szCs w:val="24"/>
          <w:lang w:val="en-US"/>
        </w:rPr>
        <w:t>women’s economic empowerment, feasibility, scalability, and impact. The selected business models must be practical, commercially viable, and responsive to identified market opportunities in the target regions. Models should avoid activities that are alread</w:t>
      </w:r>
      <w:r>
        <w:rPr>
          <w:rFonts w:ascii="Times New Roman" w:hAnsi="Times New Roman" w:cs="Times New Roman"/>
          <w:sz w:val="24"/>
          <w:szCs w:val="24"/>
          <w:lang w:val="en-US"/>
        </w:rPr>
        <w:t>y highly saturated and, where existing business concepts are proposed, demonstrate clear adaptation or differentiation to the local market context.</w:t>
      </w:r>
    </w:p>
    <w:p w14:paraId="308D77A9"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Criteria for Business Activity Types:</w:t>
      </w:r>
    </w:p>
    <w:p w14:paraId="3E345427"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1. Target Group: Business activities should be suitable for economical</w:t>
      </w:r>
      <w:r>
        <w:rPr>
          <w:rFonts w:ascii="Times New Roman" w:hAnsi="Times New Roman" w:cs="Times New Roman"/>
          <w:sz w:val="24"/>
          <w:szCs w:val="24"/>
          <w:lang w:val="en-US"/>
        </w:rPr>
        <w:t>ly disadvantaged women with limited education, specialized knowledge, or prior experience.</w:t>
      </w:r>
    </w:p>
    <w:p w14:paraId="788D3A20"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2. Training Feasibility: Women in the target group should be able to develop the basic technical and entrepreneurial skills required to start the proposed activity w</w:t>
      </w:r>
      <w:r>
        <w:rPr>
          <w:rFonts w:ascii="Times New Roman" w:hAnsi="Times New Roman" w:cs="Times New Roman"/>
          <w:sz w:val="24"/>
          <w:szCs w:val="24"/>
          <w:lang w:val="en-US"/>
        </w:rPr>
        <w:t>ithin a maximum of 2 months, through up to 40 hours of training.</w:t>
      </w:r>
    </w:p>
    <w:p w14:paraId="5CFBD549"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3. Location: Participating women should be able to operate their businesses from their current place of residence without relocation.</w:t>
      </w:r>
    </w:p>
    <w:p w14:paraId="44322E81"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4. Ownership and Control: The business activity must be c</w:t>
      </w:r>
      <w:r>
        <w:rPr>
          <w:rFonts w:ascii="Times New Roman" w:hAnsi="Times New Roman" w:cs="Times New Roman"/>
          <w:sz w:val="24"/>
          <w:szCs w:val="24"/>
          <w:lang w:val="en-US"/>
        </w:rPr>
        <w:t>apable of being independently owned and managed by the participating women.</w:t>
      </w:r>
    </w:p>
    <w:p w14:paraId="542EF4A9"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5. Investment Ranges: The capital required for each business activity should fall within at least one of the following ranges (USD equivalent):</w:t>
      </w:r>
    </w:p>
    <w:p w14:paraId="286CE385"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Up to $5,000</w:t>
      </w:r>
    </w:p>
    <w:p w14:paraId="74611CE9"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(ii) $5,000 to $20,</w:t>
      </w:r>
      <w:r>
        <w:rPr>
          <w:rFonts w:ascii="Times New Roman" w:hAnsi="Times New Roman" w:cs="Times New Roman"/>
          <w:sz w:val="24"/>
          <w:szCs w:val="24"/>
          <w:lang w:val="en-US"/>
        </w:rPr>
        <w:t>000</w:t>
      </w:r>
    </w:p>
    <w:p w14:paraId="4C9F0E4E"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(iii) $20,000 to $50,000</w:t>
      </w:r>
    </w:p>
    <w:p w14:paraId="0CF4A353"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6. Variety: Provide at least 10 distinct business activity types for each investment range listed above, resulting in at least 30 business model concepts in total.</w:t>
      </w:r>
    </w:p>
    <w:p w14:paraId="202A6A97"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7. Economic Impact: A business activity requiring an investment</w:t>
      </w:r>
      <w:r>
        <w:rPr>
          <w:rFonts w:ascii="Times New Roman" w:hAnsi="Times New Roman" w:cs="Times New Roman"/>
          <w:sz w:val="24"/>
          <w:szCs w:val="24"/>
          <w:lang w:val="en-US"/>
        </w:rPr>
        <w:t xml:space="preserve"> of up to $5,000 should be capable of providing a sustainable source of income for a family of at least 3 people, taking into account applicable minimum household consumption </w:t>
      </w:r>
      <w:proofErr w:type="gramStart"/>
      <w:r>
        <w:rPr>
          <w:rFonts w:ascii="Times New Roman" w:hAnsi="Times New Roman" w:cs="Times New Roman"/>
          <w:sz w:val="24"/>
          <w:szCs w:val="24"/>
          <w:lang w:val="en-US"/>
        </w:rPr>
        <w:t>levels..</w:t>
      </w:r>
      <w:proofErr w:type="gramEnd"/>
    </w:p>
    <w:p w14:paraId="1647E89E"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8. Innovation and Originality: Each business model must present a new co</w:t>
      </w:r>
      <w:r>
        <w:rPr>
          <w:rFonts w:ascii="Times New Roman" w:hAnsi="Times New Roman" w:cs="Times New Roman"/>
          <w:sz w:val="24"/>
          <w:szCs w:val="24"/>
          <w:lang w:val="en-US"/>
        </w:rPr>
        <w:t>ncept, approach, or product offering in the target region. Models must not replicate existing, widespread business types. Preference will be given to ideas with unique market value, untapped customer demand, or emerging technologies/applications. Adaptatio</w:t>
      </w:r>
      <w:r>
        <w:rPr>
          <w:rFonts w:ascii="Times New Roman" w:hAnsi="Times New Roman" w:cs="Times New Roman"/>
          <w:sz w:val="24"/>
          <w:szCs w:val="24"/>
          <w:lang w:val="en-US"/>
        </w:rPr>
        <w:t>ns of global ideas must be locally contextualized and demonstrate clear differentiation.</w:t>
      </w:r>
    </w:p>
    <w:p w14:paraId="5FB3ACFE"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9. Growth Potential: Entrepreneurial activity should demonstrate realistic potential for growth and expansion through reinvestment, increased sales, productivity impro</w:t>
      </w:r>
      <w:r>
        <w:rPr>
          <w:rFonts w:ascii="Times New Roman" w:hAnsi="Times New Roman" w:cs="Times New Roman"/>
          <w:sz w:val="24"/>
          <w:szCs w:val="24"/>
          <w:lang w:val="en-US"/>
        </w:rPr>
        <w:t>vements or access to wider markets. The business plan should provide reasonable three-year financial projections and explain the key assumptions underlying expected growth.</w:t>
      </w:r>
    </w:p>
    <w:p w14:paraId="0B0083F0"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 xml:space="preserve">10. Market Saturation: Each basic business plan should clearly outline the </w:t>
      </w:r>
      <w:r>
        <w:rPr>
          <w:rFonts w:ascii="Times New Roman" w:hAnsi="Times New Roman" w:cs="Times New Roman"/>
          <w:sz w:val="24"/>
          <w:szCs w:val="24"/>
          <w:lang w:val="en-US"/>
        </w:rPr>
        <w:t xml:space="preserve">potential for market saturation, considering distribution channels, demand sufficiency, and resource availability within a </w:t>
      </w:r>
      <w:r>
        <w:rPr>
          <w:rFonts w:ascii="Times New Roman" w:hAnsi="Times New Roman" w:cs="Times New Roman"/>
          <w:sz w:val="24"/>
          <w:szCs w:val="24"/>
          <w:lang w:val="en-US"/>
        </w:rPr>
        <w:lastRenderedPageBreak/>
        <w:t>Mahalla, district, and region. The maximum number (or cost) of similar business activities that can be supported should be indicated.</w:t>
      </w:r>
    </w:p>
    <w:p w14:paraId="2DD244BD"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11. Prioritization and Assessment: Prioritize business activities up to $5,000 (basic business plans) with a separate assessment of prospects. Economic activities with higher investment requirements should be assessed using a distinct system.</w:t>
      </w:r>
    </w:p>
    <w:p w14:paraId="76A3C320"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12. Complian</w:t>
      </w:r>
      <w:r>
        <w:rPr>
          <w:rFonts w:ascii="Times New Roman" w:hAnsi="Times New Roman" w:cs="Times New Roman"/>
          <w:sz w:val="24"/>
          <w:szCs w:val="24"/>
          <w:lang w:val="en-US"/>
        </w:rPr>
        <w:t>ce: Basic business plans must adhere to current legislation and the environmental and social requirements.</w:t>
      </w:r>
    </w:p>
    <w:p w14:paraId="038192DF"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13. Business Plan Design Standards:</w:t>
      </w:r>
    </w:p>
    <w:p w14:paraId="1CEC2C63" w14:textId="77777777" w:rsidR="00781030" w:rsidRDefault="00B478F0">
      <w:p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Each business activity plan should include:</w:t>
      </w:r>
    </w:p>
    <w:p w14:paraId="2B6F8E5C" w14:textId="77777777" w:rsidR="00781030" w:rsidRDefault="00781030">
      <w:pPr>
        <w:autoSpaceDE w:val="0"/>
        <w:autoSpaceDN w:val="0"/>
        <w:adjustRightInd w:val="0"/>
        <w:spacing w:after="120" w:line="240" w:lineRule="auto"/>
        <w:jc w:val="lowKashida"/>
        <w:rPr>
          <w:rFonts w:ascii="Times New Roman" w:hAnsi="Times New Roman" w:cs="Times New Roman"/>
          <w:sz w:val="24"/>
          <w:szCs w:val="24"/>
          <w:lang w:val="en-US"/>
        </w:rPr>
      </w:pPr>
    </w:p>
    <w:p w14:paraId="71B52255"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A brief description of the business model,</w:t>
      </w:r>
    </w:p>
    <w:p w14:paraId="4CF2F896"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 xml:space="preserve">Key </w:t>
      </w:r>
      <w:r>
        <w:rPr>
          <w:rFonts w:ascii="Times New Roman" w:hAnsi="Times New Roman" w:cs="Times New Roman"/>
          <w:sz w:val="24"/>
          <w:szCs w:val="24"/>
          <w:lang w:val="en-US"/>
        </w:rPr>
        <w:t>products/services to be offered,</w:t>
      </w:r>
    </w:p>
    <w:p w14:paraId="203766F0"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Target market and customer segment,</w:t>
      </w:r>
    </w:p>
    <w:p w14:paraId="0874D3DE"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Cost breakdown of initial investment and estimated working capital requirements,</w:t>
      </w:r>
    </w:p>
    <w:p w14:paraId="04F0947D"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Expected monthly and annual income and expenses,</w:t>
      </w:r>
    </w:p>
    <w:p w14:paraId="1C7D32AA"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Indicative break-even/payback period,</w:t>
      </w:r>
    </w:p>
    <w:p w14:paraId="0A0D6087"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Training modules re</w:t>
      </w:r>
      <w:r>
        <w:rPr>
          <w:rFonts w:ascii="Times New Roman" w:hAnsi="Times New Roman" w:cs="Times New Roman"/>
          <w:sz w:val="24"/>
          <w:szCs w:val="24"/>
          <w:lang w:val="en-US"/>
        </w:rPr>
        <w:t>quired and resources available,</w:t>
      </w:r>
    </w:p>
    <w:p w14:paraId="3E3CDA6F"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Outline of growth strategy over 3 years,</w:t>
      </w:r>
    </w:p>
    <w:p w14:paraId="3F94A16D"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Assessment of local competition and market saturation,</w:t>
      </w:r>
    </w:p>
    <w:p w14:paraId="4401A8EA"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Appropriate financing options, including Sharia-compliant financing where applicable;</w:t>
      </w:r>
    </w:p>
    <w:p w14:paraId="0EB9FC71" w14:textId="77777777" w:rsidR="00781030" w:rsidRDefault="00B478F0">
      <w:pPr>
        <w:pStyle w:val="afa"/>
        <w:numPr>
          <w:ilvl w:val="0"/>
          <w:numId w:val="10"/>
        </w:numPr>
        <w:autoSpaceDE w:val="0"/>
        <w:autoSpaceDN w:val="0"/>
        <w:adjustRightInd w:val="0"/>
        <w:spacing w:after="120" w:line="240" w:lineRule="auto"/>
        <w:jc w:val="lowKashida"/>
        <w:rPr>
          <w:rFonts w:ascii="Times New Roman" w:hAnsi="Times New Roman" w:cs="Times New Roman"/>
          <w:sz w:val="24"/>
          <w:szCs w:val="24"/>
          <w:lang w:val="en-US"/>
        </w:rPr>
      </w:pPr>
      <w:r>
        <w:rPr>
          <w:rFonts w:ascii="Times New Roman" w:hAnsi="Times New Roman" w:cs="Times New Roman"/>
          <w:sz w:val="24"/>
          <w:szCs w:val="24"/>
          <w:lang w:val="en-US"/>
        </w:rPr>
        <w:t>Relevant risks and mitigation measures.</w:t>
      </w:r>
    </w:p>
    <w:p w14:paraId="10162FF4" w14:textId="77777777" w:rsidR="00781030" w:rsidRDefault="00781030">
      <w:pPr>
        <w:autoSpaceDE w:val="0"/>
        <w:autoSpaceDN w:val="0"/>
        <w:adjustRightInd w:val="0"/>
        <w:spacing w:after="120" w:line="240" w:lineRule="auto"/>
        <w:jc w:val="lowKashida"/>
        <w:rPr>
          <w:rFonts w:ascii="Times New Roman" w:hAnsi="Times New Roman" w:cs="Times New Roman"/>
          <w:sz w:val="24"/>
          <w:szCs w:val="24"/>
          <w:lang w:val="en-US"/>
        </w:rPr>
      </w:pPr>
    </w:p>
    <w:p w14:paraId="3E3A6042" w14:textId="77777777" w:rsidR="00781030" w:rsidRDefault="00B478F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08B9BCA" w14:textId="77777777" w:rsidR="00781030" w:rsidRDefault="00B478F0">
      <w:pPr>
        <w:pStyle w:val="Annex"/>
        <w:spacing w:before="0" w:after="120" w:line="240" w:lineRule="auto"/>
        <w:rPr>
          <w:rFonts w:ascii="Times New Roman" w:hAnsi="Times New Roman" w:cs="Times New Roman"/>
          <w:szCs w:val="24"/>
        </w:rPr>
      </w:pPr>
      <w:r>
        <w:rPr>
          <w:rFonts w:ascii="Times New Roman" w:hAnsi="Times New Roman" w:cs="Times New Roman"/>
          <w:szCs w:val="24"/>
        </w:rPr>
        <w:lastRenderedPageBreak/>
        <w:t>Annex 3</w:t>
      </w:r>
    </w:p>
    <w:p w14:paraId="66E49016" w14:textId="77777777" w:rsidR="00781030" w:rsidRDefault="00B478F0">
      <w:pPr>
        <w:jc w:val="center"/>
        <w:rPr>
          <w:rFonts w:ascii="Times New Roman" w:hAnsi="Times New Roman" w:cs="Times New Roman"/>
          <w:sz w:val="24"/>
          <w:szCs w:val="24"/>
          <w:lang w:val="en-US"/>
        </w:rPr>
      </w:pPr>
      <w:r>
        <w:rPr>
          <w:rStyle w:val="af8"/>
          <w:rFonts w:ascii="Times New Roman" w:hAnsi="Times New Roman" w:cs="Times New Roman"/>
          <w:sz w:val="24"/>
          <w:szCs w:val="24"/>
          <w:lang w:val="en-US"/>
        </w:rPr>
        <w:t>Criteria for Identifying Vulnerable Enterprises</w:t>
      </w:r>
    </w:p>
    <w:p w14:paraId="697897EC" w14:textId="77777777" w:rsidR="00781030" w:rsidRDefault="00B478F0">
      <w:pPr>
        <w:pStyle w:val="af7"/>
      </w:pPr>
      <w:r>
        <w:t xml:space="preserve">The Consultant will focus on identifying and analyzing </w:t>
      </w:r>
      <w:r>
        <w:rPr>
          <w:rStyle w:val="af8"/>
        </w:rPr>
        <w:t>micro and small enterprises (MSEs)</w:t>
      </w:r>
      <w:r>
        <w:t xml:space="preserve"> In accordance with the priority financing list that are unable to operate at full capacity or have suspended </w:t>
      </w:r>
      <w:r>
        <w:t>operations due to limited market access or other external constraints. These enterprises will be grouped by sector and assessed to determine the marketability of their products or services, as well as the potential for developing practical recovery solutio</w:t>
      </w:r>
      <w:r>
        <w:t>ns, improving market linkages and value chains, supporting business recovery, and identifying pathways to long-term viability.</w:t>
      </w:r>
    </w:p>
    <w:p w14:paraId="52692335" w14:textId="77777777" w:rsidR="00781030" w:rsidRDefault="00B478F0">
      <w:pPr>
        <w:rPr>
          <w:rFonts w:ascii="Times New Roman" w:hAnsi="Times New Roman" w:cs="Times New Roman"/>
          <w:sz w:val="24"/>
          <w:szCs w:val="24"/>
          <w:lang w:val="en-US"/>
        </w:rPr>
      </w:pPr>
      <w:r>
        <w:rPr>
          <w:rStyle w:val="af8"/>
          <w:rFonts w:ascii="Times New Roman" w:hAnsi="Times New Roman" w:cs="Times New Roman"/>
          <w:sz w:val="24"/>
          <w:szCs w:val="24"/>
          <w:lang w:val="en-US"/>
        </w:rPr>
        <w:t xml:space="preserve">1. Sector-Level Criteria. </w:t>
      </w:r>
      <w:r>
        <w:rPr>
          <w:rFonts w:ascii="Times New Roman" w:hAnsi="Times New Roman" w:cs="Times New Roman"/>
          <w:sz w:val="24"/>
          <w:szCs w:val="24"/>
          <w:lang w:val="en-US"/>
        </w:rPr>
        <w:t>To qualify as a vulnerable sector, the following conditions must be met:</w:t>
      </w:r>
    </w:p>
    <w:p w14:paraId="2678865E" w14:textId="77777777" w:rsidR="00781030" w:rsidRDefault="00B478F0">
      <w:pPr>
        <w:pStyle w:val="af7"/>
        <w:numPr>
          <w:ilvl w:val="0"/>
          <w:numId w:val="11"/>
        </w:numPr>
      </w:pPr>
      <w:r>
        <w:t xml:space="preserve">The consulting firm must </w:t>
      </w:r>
      <w:r>
        <w:rPr>
          <w:rStyle w:val="af8"/>
        </w:rPr>
        <w:t>identify and select at least 10 vulnerable business sectors or activities</w:t>
      </w:r>
      <w:r>
        <w:t>.</w:t>
      </w:r>
    </w:p>
    <w:p w14:paraId="78C77D04" w14:textId="0299E00B" w:rsidR="00781030" w:rsidRDefault="00B478F0">
      <w:pPr>
        <w:pStyle w:val="af7"/>
        <w:numPr>
          <w:ilvl w:val="0"/>
          <w:numId w:val="11"/>
        </w:numPr>
      </w:pPr>
      <w:r>
        <w:t xml:space="preserve">For each identified sector, there must be </w:t>
      </w:r>
      <w:r>
        <w:rPr>
          <w:rStyle w:val="af8"/>
        </w:rPr>
        <w:t xml:space="preserve">a </w:t>
      </w:r>
      <w:r>
        <w:t xml:space="preserve">sufficient concentration </w:t>
      </w:r>
      <w:r>
        <w:t>of micro or small enterprises, either operat</w:t>
      </w:r>
      <w:r>
        <w:t xml:space="preserve">ional or temporarily inactive, </w:t>
      </w:r>
      <w:r>
        <w:t>with at least 30 such enterprises present in each target region, as an indication that the business activity is sufficiently widespread and that the identified vulnerability is sector-wide rather than isolated. This threshold</w:t>
      </w:r>
      <w:r>
        <w:t xml:space="preserve"> is a sector-identification criterion and does not represent the number of enterprises to be selected for detailed diagnostic </w:t>
      </w:r>
      <w:proofErr w:type="gramStart"/>
      <w:r>
        <w:t>analysis.</w:t>
      </w:r>
      <w:r>
        <w:t>.</w:t>
      </w:r>
      <w:proofErr w:type="gramEnd"/>
    </w:p>
    <w:p w14:paraId="1813FD7D" w14:textId="77777777" w:rsidR="00781030" w:rsidRDefault="00B478F0">
      <w:pPr>
        <w:pStyle w:val="af7"/>
        <w:numPr>
          <w:ilvl w:val="0"/>
          <w:numId w:val="11"/>
        </w:numPr>
      </w:pPr>
      <w:r>
        <w:t xml:space="preserve">Selected </w:t>
      </w:r>
      <w:r>
        <w:t xml:space="preserve">sectors must include </w:t>
      </w:r>
      <w:r>
        <w:rPr>
          <w:rStyle w:val="af8"/>
        </w:rPr>
        <w:t>already established businesses</w:t>
      </w:r>
      <w:r>
        <w:t xml:space="preserve"> with core production assets (such as equipment, tools, buildings, or infrastructure) </w:t>
      </w:r>
      <w:r>
        <w:rPr>
          <w:rStyle w:val="af8"/>
        </w:rPr>
        <w:t>already procured, installed, or in use</w:t>
      </w:r>
      <w:r>
        <w:t>.</w:t>
      </w:r>
    </w:p>
    <w:p w14:paraId="51F061C7" w14:textId="6434B02E" w:rsidR="00781030" w:rsidRDefault="00B478F0">
      <w:pPr>
        <w:pStyle w:val="af7"/>
        <w:numPr>
          <w:ilvl w:val="0"/>
          <w:numId w:val="11"/>
        </w:numPr>
      </w:pPr>
      <w:r>
        <w:t xml:space="preserve">A significant portion of businesses in the sector must be </w:t>
      </w:r>
      <w:r>
        <w:rPr>
          <w:rStyle w:val="af8"/>
        </w:rPr>
        <w:t>functionally limited or temporarily non-operational</w:t>
      </w:r>
      <w:r>
        <w:t xml:space="preserve"> due to constraints such as lack of buyers, limited access to markets, or other forms of </w:t>
      </w:r>
      <w:proofErr w:type="spellStart"/>
      <w:proofErr w:type="gramStart"/>
      <w:r>
        <w:t>vulnerability,financing</w:t>
      </w:r>
      <w:proofErr w:type="spellEnd"/>
      <w:proofErr w:type="gramEnd"/>
      <w:r>
        <w:t xml:space="preserve"> constraints, input limitations, or</w:t>
      </w:r>
      <w:r>
        <w:t xml:space="preserve"> other relevant factors affecting business performance</w:t>
      </w:r>
      <w:r>
        <w:t>.</w:t>
      </w:r>
    </w:p>
    <w:p w14:paraId="0DE3E012" w14:textId="77777777" w:rsidR="00781030" w:rsidRDefault="00B478F0">
      <w:pPr>
        <w:pStyle w:val="af7"/>
        <w:numPr>
          <w:ilvl w:val="0"/>
          <w:numId w:val="11"/>
        </w:numPr>
      </w:pPr>
      <w:r>
        <w:t xml:space="preserve">The sector must demonstrate </w:t>
      </w:r>
      <w:r>
        <w:rPr>
          <w:rStyle w:val="af8"/>
        </w:rPr>
        <w:t>potential for recovery</w:t>
      </w:r>
      <w:r>
        <w:t xml:space="preserve">, meaning that businesses could resume or scale up operations if appropriate support is provided—such as marketing assistance, consultancy services, </w:t>
      </w:r>
      <w:r>
        <w:t>or financing or other relevant business development support.</w:t>
      </w:r>
    </w:p>
    <w:p w14:paraId="7A17BEAB" w14:textId="77777777" w:rsidR="00781030" w:rsidRDefault="00B478F0">
      <w:pPr>
        <w:rPr>
          <w:rFonts w:ascii="Times New Roman" w:hAnsi="Times New Roman" w:cs="Times New Roman"/>
          <w:sz w:val="24"/>
          <w:szCs w:val="24"/>
          <w:lang w:val="en-US"/>
        </w:rPr>
      </w:pPr>
      <w:r>
        <w:rPr>
          <w:rStyle w:val="af8"/>
          <w:rFonts w:ascii="Times New Roman" w:hAnsi="Times New Roman" w:cs="Times New Roman"/>
          <w:sz w:val="24"/>
          <w:szCs w:val="24"/>
          <w:lang w:val="en-US"/>
        </w:rPr>
        <w:t xml:space="preserve">2. Enterprise-Level Criteria. </w:t>
      </w:r>
      <w:r>
        <w:rPr>
          <w:rFonts w:ascii="Times New Roman" w:hAnsi="Times New Roman" w:cs="Times New Roman"/>
          <w:sz w:val="24"/>
          <w:szCs w:val="24"/>
          <w:lang w:val="en-US"/>
        </w:rPr>
        <w:t>Enterprises selected for deeper analysis and support must meet the following eligibility conditions:</w:t>
      </w:r>
    </w:p>
    <w:p w14:paraId="7BFAA5CC" w14:textId="77777777" w:rsidR="00781030" w:rsidRDefault="00B478F0">
      <w:pPr>
        <w:pStyle w:val="af7"/>
        <w:numPr>
          <w:ilvl w:val="0"/>
          <w:numId w:val="11"/>
        </w:numPr>
      </w:pPr>
      <w:r>
        <w:t xml:space="preserve">The enterprise must be classified as </w:t>
      </w:r>
      <w:r>
        <w:rPr>
          <w:rStyle w:val="af8"/>
        </w:rPr>
        <w:t>micro or small</w:t>
      </w:r>
      <w:r>
        <w:t xml:space="preserve">, with </w:t>
      </w:r>
      <w:r>
        <w:rPr>
          <w:rStyle w:val="af8"/>
        </w:rPr>
        <w:t>no mor</w:t>
      </w:r>
      <w:r>
        <w:rPr>
          <w:rStyle w:val="af8"/>
        </w:rPr>
        <w:t>e than 20 employees</w:t>
      </w:r>
      <w:r>
        <w:t>.</w:t>
      </w:r>
    </w:p>
    <w:p w14:paraId="59B770BA" w14:textId="77777777" w:rsidR="00781030" w:rsidRDefault="00B478F0">
      <w:pPr>
        <w:pStyle w:val="af7"/>
        <w:numPr>
          <w:ilvl w:val="0"/>
          <w:numId w:val="11"/>
        </w:numPr>
      </w:pPr>
      <w:r>
        <w:t xml:space="preserve">The business must be </w:t>
      </w:r>
      <w:r>
        <w:rPr>
          <w:rStyle w:val="af8"/>
        </w:rPr>
        <w:t>home-based or located on personal land or premises</w:t>
      </w:r>
      <w:r>
        <w:t xml:space="preserve"> (e.g., private buildings or informal facilities), even if the property is not formally owned by the entrepreneur.</w:t>
      </w:r>
    </w:p>
    <w:p w14:paraId="6D6C85E1" w14:textId="77777777" w:rsidR="00781030" w:rsidRDefault="00B478F0">
      <w:pPr>
        <w:pStyle w:val="af7"/>
        <w:numPr>
          <w:ilvl w:val="0"/>
          <w:numId w:val="11"/>
        </w:numPr>
      </w:pPr>
      <w:r>
        <w:t xml:space="preserve">The enterprise must </w:t>
      </w:r>
      <w:r>
        <w:rPr>
          <w:rStyle w:val="af8"/>
        </w:rPr>
        <w:t>not be declared bankrupt</w:t>
      </w:r>
      <w:r>
        <w:t>, and</w:t>
      </w:r>
      <w:r>
        <w:t xml:space="preserve"> key assets such as equipment must </w:t>
      </w:r>
      <w:r>
        <w:rPr>
          <w:rStyle w:val="af8"/>
        </w:rPr>
        <w:t>not be subject to liquidation or sale due to outstanding debts</w:t>
      </w:r>
      <w:r>
        <w:t>.</w:t>
      </w:r>
    </w:p>
    <w:p w14:paraId="775901AB" w14:textId="77777777" w:rsidR="00781030" w:rsidRDefault="00B478F0">
      <w:pPr>
        <w:pStyle w:val="af7"/>
        <w:numPr>
          <w:ilvl w:val="0"/>
          <w:numId w:val="11"/>
        </w:numPr>
      </w:pPr>
      <w:r>
        <w:t xml:space="preserve">The entrepreneur must express </w:t>
      </w:r>
      <w:r>
        <w:rPr>
          <w:rStyle w:val="af8"/>
        </w:rPr>
        <w:t>a willingness to continue operations</w:t>
      </w:r>
      <w:r>
        <w:t xml:space="preserve"> and </w:t>
      </w:r>
      <w:r>
        <w:rPr>
          <w:rStyle w:val="af8"/>
        </w:rPr>
        <w:t>not intend to sell the business equipment</w:t>
      </w:r>
      <w:r>
        <w:t xml:space="preserve">, particularly </w:t>
      </w:r>
      <w:proofErr w:type="gramStart"/>
      <w:r>
        <w:t>where</w:t>
      </w:r>
      <w:proofErr w:type="gramEnd"/>
      <w:r>
        <w:t xml:space="preserve"> doing so would result in</w:t>
      </w:r>
      <w:r>
        <w:t xml:space="preserve"> significant financial loss compared to the original investment.</w:t>
      </w:r>
    </w:p>
    <w:p w14:paraId="2CA203EB" w14:textId="77777777" w:rsidR="00781030" w:rsidRDefault="00B478F0">
      <w:pPr>
        <w:pStyle w:val="af7"/>
        <w:numPr>
          <w:ilvl w:val="0"/>
          <w:numId w:val="11"/>
        </w:numPr>
      </w:pPr>
      <w:r>
        <w:t xml:space="preserve">The business must currently be </w:t>
      </w:r>
      <w:r>
        <w:rPr>
          <w:rStyle w:val="af8"/>
        </w:rPr>
        <w:t>underperforming or inactive</w:t>
      </w:r>
      <w:r>
        <w:t xml:space="preserve"> primarily due to </w:t>
      </w:r>
      <w:r>
        <w:rPr>
          <w:rStyle w:val="af8"/>
        </w:rPr>
        <w:t>external constraints</w:t>
      </w:r>
      <w:r>
        <w:t>, such as limited customer access or market demand, rather than internal mismanagement or unres</w:t>
      </w:r>
      <w:r>
        <w:t>olved legal issues.</w:t>
      </w:r>
    </w:p>
    <w:p w14:paraId="5E7D1F84" w14:textId="77777777" w:rsidR="00781030" w:rsidRDefault="00B478F0">
      <w:pPr>
        <w:rPr>
          <w:rFonts w:ascii="Times New Roman" w:hAnsi="Times New Roman" w:cs="Times New Roman"/>
          <w:sz w:val="24"/>
          <w:szCs w:val="24"/>
          <w:lang w:val="en-US"/>
        </w:rPr>
      </w:pPr>
      <w:r>
        <w:rPr>
          <w:rStyle w:val="af8"/>
          <w:rFonts w:ascii="Times New Roman" w:hAnsi="Times New Roman" w:cs="Times New Roman"/>
          <w:sz w:val="24"/>
          <w:szCs w:val="24"/>
          <w:lang w:val="en-US"/>
        </w:rPr>
        <w:t xml:space="preserve">3. Case Study Sample Selection and Analysis. </w:t>
      </w:r>
      <w:r>
        <w:rPr>
          <w:rFonts w:ascii="Times New Roman" w:hAnsi="Times New Roman" w:cs="Times New Roman"/>
          <w:sz w:val="24"/>
          <w:szCs w:val="24"/>
          <w:lang w:val="en-US"/>
        </w:rPr>
        <w:t xml:space="preserve">For each of the </w:t>
      </w:r>
      <w:r>
        <w:rPr>
          <w:rStyle w:val="af8"/>
          <w:rFonts w:ascii="Times New Roman" w:hAnsi="Times New Roman" w:cs="Times New Roman"/>
          <w:b w:val="0"/>
          <w:bCs w:val="0"/>
          <w:sz w:val="24"/>
          <w:szCs w:val="24"/>
          <w:lang w:val="en-US"/>
        </w:rPr>
        <w:t>10 identified vulnerable sectors</w:t>
      </w:r>
      <w:r>
        <w:rPr>
          <w:rFonts w:ascii="Times New Roman" w:hAnsi="Times New Roman" w:cs="Times New Roman"/>
          <w:sz w:val="24"/>
          <w:szCs w:val="24"/>
          <w:lang w:val="en-US"/>
        </w:rPr>
        <w:t>, the consulting firm shall:</w:t>
      </w:r>
    </w:p>
    <w:p w14:paraId="012F004C" w14:textId="77777777" w:rsidR="00781030" w:rsidRDefault="00B478F0">
      <w:pPr>
        <w:pStyle w:val="af7"/>
        <w:numPr>
          <w:ilvl w:val="0"/>
          <w:numId w:val="11"/>
        </w:numPr>
      </w:pPr>
      <w:r>
        <w:lastRenderedPageBreak/>
        <w:t xml:space="preserve">Select a minimum of </w:t>
      </w:r>
      <w:r>
        <w:rPr>
          <w:rStyle w:val="af8"/>
        </w:rPr>
        <w:t>5 representative enterprises per sector</w:t>
      </w:r>
      <w:r>
        <w:t>, from different regions or areas, resulting in a total</w:t>
      </w:r>
      <w:r>
        <w:t xml:space="preserve"> sample of </w:t>
      </w:r>
      <w:r>
        <w:rPr>
          <w:rStyle w:val="af8"/>
        </w:rPr>
        <w:t>50 enterprises across 10 sectors</w:t>
      </w:r>
      <w:r>
        <w:t>.</w:t>
      </w:r>
    </w:p>
    <w:p w14:paraId="032B01F6" w14:textId="77777777" w:rsidR="00781030" w:rsidRDefault="00B478F0">
      <w:pPr>
        <w:pStyle w:val="af7"/>
        <w:numPr>
          <w:ilvl w:val="0"/>
          <w:numId w:val="11"/>
        </w:numPr>
      </w:pPr>
      <w:r>
        <w:t xml:space="preserve">Conduct a </w:t>
      </w:r>
      <w:r>
        <w:rPr>
          <w:rStyle w:val="af8"/>
        </w:rPr>
        <w:t>comprehensive diagnostic analysis</w:t>
      </w:r>
      <w:r>
        <w:t xml:space="preserve"> of each selected enterprise and its respective sector, covering the following dimensions:</w:t>
      </w:r>
    </w:p>
    <w:p w14:paraId="23F6DD23" w14:textId="77777777" w:rsidR="00781030" w:rsidRDefault="00B478F0">
      <w:pPr>
        <w:pStyle w:val="af7"/>
        <w:numPr>
          <w:ilvl w:val="0"/>
          <w:numId w:val="11"/>
        </w:numPr>
      </w:pPr>
      <w:r>
        <w:t xml:space="preserve">Review of </w:t>
      </w:r>
      <w:r>
        <w:rPr>
          <w:rStyle w:val="af8"/>
        </w:rPr>
        <w:t>any market research</w:t>
      </w:r>
      <w:r>
        <w:t xml:space="preserve"> conducted by the entrepreneur prior to launchin</w:t>
      </w:r>
      <w:r>
        <w:t>g operations;</w:t>
      </w:r>
    </w:p>
    <w:p w14:paraId="508E517B" w14:textId="77777777" w:rsidR="00781030" w:rsidRDefault="00B478F0">
      <w:pPr>
        <w:pStyle w:val="af7"/>
        <w:numPr>
          <w:ilvl w:val="0"/>
          <w:numId w:val="11"/>
        </w:numPr>
      </w:pPr>
      <w:r>
        <w:t xml:space="preserve">Assessment of the </w:t>
      </w:r>
      <w:r>
        <w:rPr>
          <w:rStyle w:val="af8"/>
        </w:rPr>
        <w:t>quality and completeness</w:t>
      </w:r>
      <w:r>
        <w:t xml:space="preserve"> of the original business plan;</w:t>
      </w:r>
    </w:p>
    <w:p w14:paraId="7ED8AAFE" w14:textId="77777777" w:rsidR="00781030" w:rsidRDefault="00B478F0">
      <w:pPr>
        <w:pStyle w:val="af7"/>
        <w:numPr>
          <w:ilvl w:val="0"/>
          <w:numId w:val="11"/>
        </w:numPr>
      </w:pPr>
      <w:r>
        <w:t xml:space="preserve">Identification of </w:t>
      </w:r>
      <w:r>
        <w:rPr>
          <w:rStyle w:val="af8"/>
        </w:rPr>
        <w:t>operational challenges</w:t>
      </w:r>
      <w:r>
        <w:t>, misjudgments, and capacity limitations experienced by the enterprise;</w:t>
      </w:r>
    </w:p>
    <w:p w14:paraId="5924C98F" w14:textId="77777777" w:rsidR="00781030" w:rsidRDefault="00B478F0">
      <w:pPr>
        <w:pStyle w:val="af7"/>
        <w:numPr>
          <w:ilvl w:val="0"/>
          <w:numId w:val="11"/>
        </w:numPr>
      </w:pPr>
      <w:r>
        <w:t xml:space="preserve">Evaluation of </w:t>
      </w:r>
      <w:r>
        <w:rPr>
          <w:rStyle w:val="af8"/>
        </w:rPr>
        <w:t>external factors</w:t>
      </w:r>
      <w:r>
        <w:t xml:space="preserve"> affecting business performance, including regulatory changes, the presence of new (especially imported) competitors, input shortages, or loss of skills and know-how;</w:t>
      </w:r>
    </w:p>
    <w:p w14:paraId="73555361" w14:textId="77777777" w:rsidR="00781030" w:rsidRDefault="00B478F0">
      <w:pPr>
        <w:pStyle w:val="af7"/>
        <w:numPr>
          <w:ilvl w:val="0"/>
          <w:numId w:val="11"/>
        </w:numPr>
      </w:pPr>
      <w:r>
        <w:t xml:space="preserve">Analysis of </w:t>
      </w:r>
      <w:r>
        <w:rPr>
          <w:rStyle w:val="af8"/>
        </w:rPr>
        <w:t>cost structure and pricing strategy</w:t>
      </w:r>
      <w:r>
        <w:t>, with recommendations for improving cost-</w:t>
      </w:r>
      <w:r>
        <w:t>efficiency and identifying alternative inputs or methods;</w:t>
      </w:r>
    </w:p>
    <w:p w14:paraId="2B6CA7AD" w14:textId="77777777" w:rsidR="00781030" w:rsidRDefault="00B478F0">
      <w:pPr>
        <w:pStyle w:val="af7"/>
        <w:numPr>
          <w:ilvl w:val="0"/>
          <w:numId w:val="11"/>
        </w:numPr>
      </w:pPr>
      <w:r>
        <w:t xml:space="preserve">Identification of </w:t>
      </w:r>
      <w:r>
        <w:rPr>
          <w:rStyle w:val="af8"/>
        </w:rPr>
        <w:t>gaps in existing marketing strategies</w:t>
      </w:r>
      <w:r>
        <w:t xml:space="preserve"> and the need for updated or more effective market research;</w:t>
      </w:r>
    </w:p>
    <w:p w14:paraId="02696002" w14:textId="77777777" w:rsidR="00781030" w:rsidRDefault="00B478F0">
      <w:pPr>
        <w:pStyle w:val="af7"/>
        <w:numPr>
          <w:ilvl w:val="0"/>
          <w:numId w:val="11"/>
        </w:numPr>
      </w:pPr>
      <w:r>
        <w:t xml:space="preserve">Examination of the </w:t>
      </w:r>
      <w:r>
        <w:rPr>
          <w:rStyle w:val="af8"/>
        </w:rPr>
        <w:t>feasibility of building sales chains or aggregators</w:t>
      </w:r>
      <w:r>
        <w:t>, based on t</w:t>
      </w:r>
      <w:r>
        <w:t>he scale and similarities among enterprises within the sector;</w:t>
      </w:r>
    </w:p>
    <w:p w14:paraId="1F94DD22" w14:textId="77777777" w:rsidR="00781030" w:rsidRDefault="00B478F0">
      <w:pPr>
        <w:pStyle w:val="af7"/>
        <w:numPr>
          <w:ilvl w:val="0"/>
          <w:numId w:val="11"/>
        </w:numPr>
      </w:pPr>
      <w:r>
        <w:t xml:space="preserve">Documentation of any </w:t>
      </w:r>
      <w:r>
        <w:rPr>
          <w:rStyle w:val="af8"/>
        </w:rPr>
        <w:t>additional findings</w:t>
      </w:r>
      <w:r>
        <w:t xml:space="preserve"> that may influence enterprise sustainability, market relevance, or potential for growth.</w:t>
      </w:r>
    </w:p>
    <w:p w14:paraId="2CF421DE" w14:textId="77777777" w:rsidR="00781030" w:rsidRDefault="00781030">
      <w:pPr>
        <w:autoSpaceDE w:val="0"/>
        <w:autoSpaceDN w:val="0"/>
        <w:adjustRightInd w:val="0"/>
        <w:spacing w:after="120" w:line="240" w:lineRule="auto"/>
        <w:jc w:val="lowKashida"/>
        <w:rPr>
          <w:rFonts w:ascii="Times New Roman" w:hAnsi="Times New Roman" w:cs="Times New Roman"/>
          <w:sz w:val="24"/>
          <w:szCs w:val="24"/>
          <w:lang w:val="en-US"/>
        </w:rPr>
      </w:pPr>
    </w:p>
    <w:sectPr w:rsidR="00781030">
      <w:pgSz w:w="12240" w:h="15840"/>
      <w:pgMar w:top="709" w:right="90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273F7" w14:textId="77777777" w:rsidR="00B478F0" w:rsidRDefault="00B478F0">
      <w:pPr>
        <w:spacing w:line="240" w:lineRule="auto"/>
      </w:pPr>
      <w:r>
        <w:separator/>
      </w:r>
    </w:p>
  </w:endnote>
  <w:endnote w:type="continuationSeparator" w:id="0">
    <w:p w14:paraId="465634F4" w14:textId="77777777" w:rsidR="00B478F0" w:rsidRDefault="00B478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Light">
    <w:charset w:val="00"/>
    <w:family w:val="auto"/>
    <w:pitch w:val="variable"/>
    <w:sig w:usb0="E00002FF" w:usb1="5000205B" w:usb2="0000002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325662"/>
    </w:sdtPr>
    <w:sdtEndPr/>
    <w:sdtContent>
      <w:p w14:paraId="20AEB8E0" w14:textId="77777777" w:rsidR="00781030" w:rsidRDefault="00B478F0">
        <w:pPr>
          <w:pStyle w:val="af"/>
          <w:jc w:val="center"/>
        </w:pPr>
        <w:r>
          <w:fldChar w:fldCharType="begin"/>
        </w:r>
        <w:r>
          <w:instrText xml:space="preserve"> PAGE   \* MERGEFORMAT </w:instrText>
        </w:r>
        <w:r>
          <w:fldChar w:fldCharType="separate"/>
        </w:r>
        <w:r>
          <w:t>2</w:t>
        </w:r>
        <w:r>
          <w:fldChar w:fldCharType="end"/>
        </w:r>
      </w:p>
    </w:sdtContent>
  </w:sdt>
  <w:p w14:paraId="69F71AAD" w14:textId="77777777" w:rsidR="00781030" w:rsidRDefault="0078103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8CC87" w14:textId="77777777" w:rsidR="00B478F0" w:rsidRDefault="00B478F0">
      <w:pPr>
        <w:spacing w:after="0"/>
      </w:pPr>
      <w:r>
        <w:separator/>
      </w:r>
    </w:p>
  </w:footnote>
  <w:footnote w:type="continuationSeparator" w:id="0">
    <w:p w14:paraId="7028D319" w14:textId="77777777" w:rsidR="00B478F0" w:rsidRDefault="00B478F0">
      <w:pPr>
        <w:spacing w:after="0"/>
      </w:pPr>
      <w:r>
        <w:continuationSeparator/>
      </w:r>
    </w:p>
  </w:footnote>
  <w:footnote w:id="1">
    <w:p w14:paraId="32E82E8A" w14:textId="77777777" w:rsidR="00781030" w:rsidRDefault="00B478F0">
      <w:pPr>
        <w:pStyle w:val="af2"/>
        <w:snapToGrid w:val="0"/>
      </w:pPr>
      <w:r>
        <w:rPr>
          <w:rStyle w:val="af1"/>
        </w:rPr>
        <w:footnoteRef/>
      </w:r>
      <w:r>
        <w:t xml:space="preserve"> </w:t>
      </w:r>
      <w:r>
        <w:t>Source: Financing Agreements signed on 18 April 2024 bet</w:t>
      </w:r>
      <w:r>
        <w:t>ween the Republic of Uzbekistan and the Islamic Development Bank (IsDB) for the Strengthening the Economic Resilience of Vulnerable Enterprises (SERVE) Project (UZB-1037). These indicators represent overall Project-level results and targets.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37FB9" w14:textId="77777777" w:rsidR="00781030" w:rsidRDefault="00B478F0">
    <w:pPr>
      <w:pStyle w:val="af4"/>
    </w:pPr>
    <w:r>
      <w:rPr>
        <w:noProof/>
      </w:rPr>
      <mc:AlternateContent>
        <mc:Choice Requires="wps">
          <w:drawing>
            <wp:anchor distT="0" distB="0" distL="114300" distR="114300" simplePos="0" relativeHeight="251659264" behindDoc="0" locked="0" layoutInCell="0" allowOverlap="1" wp14:anchorId="169405FB" wp14:editId="47B62CF9">
              <wp:simplePos x="0" y="0"/>
              <wp:positionH relativeFrom="page">
                <wp:posOffset>0</wp:posOffset>
              </wp:positionH>
              <wp:positionV relativeFrom="page">
                <wp:posOffset>190500</wp:posOffset>
              </wp:positionV>
              <wp:extent cx="7772400" cy="273050"/>
              <wp:effectExtent l="0" t="0" r="0" b="12700"/>
              <wp:wrapNone/>
              <wp:docPr id="1" name="MSIPCM192349569b193f7bfcf2d520" descr="{&quot;HashCode&quot;:-1813103172,&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wps:spPr>
                    <wps:txbx>
                      <w:txbxContent>
                        <w:p w14:paraId="23563A85" w14:textId="77777777" w:rsidR="00781030" w:rsidRDefault="00B478F0">
                          <w:pPr>
                            <w:spacing w:after="0"/>
                            <w:rPr>
                              <w:rFonts w:ascii="Calibri" w:hAnsi="Calibri" w:cs="Calibri"/>
                              <w:color w:val="000000"/>
                              <w:sz w:val="20"/>
                            </w:rPr>
                          </w:pPr>
                          <w:proofErr w:type="spellStart"/>
                          <w:r>
                            <w:rPr>
                              <w:rFonts w:ascii="Calibri" w:hAnsi="Calibri" w:cs="Calibri"/>
                              <w:color w:val="000000"/>
                              <w:sz w:val="20"/>
                            </w:rPr>
                            <w:t>Protected</w:t>
                          </w:r>
                          <w:proofErr w:type="spellEnd"/>
                        </w:p>
                      </w:txbxContent>
                    </wps:txbx>
                    <wps:bodyPr rot="0" spcFirstLastPara="0" vertOverflow="overflow" horzOverflow="overflow" vert="horz" wrap="square" lIns="254000" tIns="0" rIns="91440" bIns="0" numCol="1" spcCol="0" rtlCol="0" fromWordArt="0" anchor="t" anchorCtr="0" forceAA="0" compatLnSpc="1">
                      <a:noAutofit/>
                    </wps:bodyPr>
                  </wps:wsp>
                </a:graphicData>
              </a:graphic>
            </wp:anchor>
          </w:drawing>
        </mc:Choice>
        <mc:Fallback xmlns:wpsCustomData="http://www.wps.cn/officeDocument/2013/wpsCustomData">
          <w:pict>
            <v:shape id="MSIPCM192349569b193f7bfcf2d520" o:spid="_x0000_s1026" o:spt="202" alt="{&quot;HashCode&quot;:-1813103172,&quot;Height&quot;:792.0,&quot;Width&quot;:612.0,&quot;Placement&quot;:&quot;Header&quot;,&quot;Index&quot;:&quot;Primary&quot;,&quot;Section&quot;:1,&quot;Top&quot;:0.0,&quot;Left&quot;:0.0}" type="#_x0000_t202" style="position:absolute;left:0pt;margin-left:0pt;margin-top:15pt;height:21.5pt;width:612pt;mso-position-horizontal-relative:page;mso-position-vertical-relative:page;z-index:251659264;mso-width-relative:page;mso-height-relative:page;" filled="f" stroked="f" coordsize="21600,21600" o:allowincell="f" o:gfxdata="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CLcuoW1AAAAAcBAAAPAAAAAAAAAAEAIAAAACIAAABkcnMvZG93bnJl&#10;di54bWxQSwECFAAUAAAACACHTuJApnS8a6wCAABcBQAADgAAAAAAAAABACAAAAAjAQAAZHJzL2Uy&#10;b0RvYy54bWxQSwUGAAAAAAYABgBZAQAAQQYAAAAA&#10;">
              <v:fill on="f" focussize="0,0"/>
              <v:stroke on="f" weight="0.5pt"/>
              <v:imagedata o:title=""/>
              <o:lock v:ext="edit" aspectratio="f"/>
              <v:textbox inset="20pt,0mm,2.54mm,0mm">
                <w:txbxContent>
                  <w:p w14:paraId="4DADB077">
                    <w:pPr>
                      <w:spacing w:after="0"/>
                      <w:rPr>
                        <w:rFonts w:ascii="Calibri" w:hAnsi="Calibri" w:cs="Calibri"/>
                        <w:color w:val="000000"/>
                        <w:sz w:val="20"/>
                      </w:rPr>
                    </w:pPr>
                    <w:r>
                      <w:rPr>
                        <w:rFonts w:ascii="Calibri" w:hAnsi="Calibri" w:cs="Calibri"/>
                        <w:color w:val="000000"/>
                        <w:sz w:val="20"/>
                      </w:rPr>
                      <w:t>Protected</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A4D6899"/>
    <w:multiLevelType w:val="singleLevel"/>
    <w:tmpl w:val="DA4D6899"/>
    <w:lvl w:ilvl="0">
      <w:start w:val="1"/>
      <w:numFmt w:val="decimal"/>
      <w:pStyle w:val="2"/>
      <w:lvlText w:val="%1."/>
      <w:lvlJc w:val="left"/>
      <w:pPr>
        <w:tabs>
          <w:tab w:val="left" w:pos="425"/>
        </w:tabs>
        <w:ind w:left="425" w:hanging="425"/>
      </w:pPr>
      <w:rPr>
        <w:rFonts w:hint="default"/>
      </w:rPr>
    </w:lvl>
  </w:abstractNum>
  <w:abstractNum w:abstractNumId="1" w15:restartNumberingAfterBreak="0">
    <w:nsid w:val="E3E0EF88"/>
    <w:multiLevelType w:val="singleLevel"/>
    <w:tmpl w:val="E3E0EF88"/>
    <w:lvl w:ilvl="0">
      <w:start w:val="1"/>
      <w:numFmt w:val="lowerRoman"/>
      <w:suff w:val="space"/>
      <w:lvlText w:val="(%1)"/>
      <w:lvlJc w:val="left"/>
    </w:lvl>
  </w:abstractNum>
  <w:abstractNum w:abstractNumId="2" w15:restartNumberingAfterBreak="0">
    <w:nsid w:val="1BBB006D"/>
    <w:multiLevelType w:val="singleLevel"/>
    <w:tmpl w:val="1BBB006D"/>
    <w:lvl w:ilvl="0">
      <w:start w:val="1"/>
      <w:numFmt w:val="decimal"/>
      <w:suff w:val="space"/>
      <w:lvlText w:val="%1."/>
      <w:lvlJc w:val="left"/>
    </w:lvl>
  </w:abstractNum>
  <w:abstractNum w:abstractNumId="3" w15:restartNumberingAfterBreak="0">
    <w:nsid w:val="21625C27"/>
    <w:multiLevelType w:val="multilevel"/>
    <w:tmpl w:val="21625C27"/>
    <w:lvl w:ilvl="0">
      <w:start w:val="1"/>
      <w:numFmt w:val="bullet"/>
      <w:lvlText w:val="-"/>
      <w:lvlJc w:val="left"/>
      <w:pPr>
        <w:ind w:left="1778" w:hanging="360"/>
      </w:pPr>
      <w:rPr>
        <w:rFonts w:ascii="Stencil" w:hAnsi="Stencil" w:hint="default"/>
      </w:rPr>
    </w:lvl>
    <w:lvl w:ilvl="1">
      <w:start w:val="1"/>
      <w:numFmt w:val="lowerRoman"/>
      <w:lvlText w:val="%2."/>
      <w:lvlJc w:val="right"/>
      <w:pPr>
        <w:ind w:left="1494" w:hanging="360"/>
      </w:pPr>
      <w:rPr>
        <w:rFonts w:hint="default"/>
      </w:rPr>
    </w:lvl>
    <w:lvl w:ilvl="2">
      <w:start w:val="1"/>
      <w:numFmt w:val="decimal"/>
      <w:lvlText w:val="%3."/>
      <w:lvlJc w:val="left"/>
      <w:pPr>
        <w:ind w:left="2327" w:hanging="360"/>
      </w:pPr>
      <w:rPr>
        <w:rFonts w:hint="default"/>
      </w:rPr>
    </w:lvl>
    <w:lvl w:ilvl="3">
      <w:start w:val="1"/>
      <w:numFmt w:val="decimal"/>
      <w:lvlText w:val="%4)"/>
      <w:lvlJc w:val="left"/>
      <w:pPr>
        <w:ind w:left="3047" w:hanging="360"/>
      </w:pPr>
      <w:rPr>
        <w:rFonts w:hint="default"/>
      </w:rPr>
    </w:lvl>
    <w:lvl w:ilvl="4">
      <w:start w:val="1"/>
      <w:numFmt w:val="bullet"/>
      <w:lvlText w:val="o"/>
      <w:lvlJc w:val="left"/>
      <w:pPr>
        <w:ind w:left="3767" w:hanging="360"/>
      </w:pPr>
      <w:rPr>
        <w:rFonts w:ascii="Courier New" w:hAnsi="Courier New" w:cs="Courier New" w:hint="default"/>
      </w:rPr>
    </w:lvl>
    <w:lvl w:ilvl="5">
      <w:start w:val="1"/>
      <w:numFmt w:val="bullet"/>
      <w:lvlText w:val=""/>
      <w:lvlJc w:val="left"/>
      <w:pPr>
        <w:ind w:left="4487" w:hanging="360"/>
      </w:pPr>
      <w:rPr>
        <w:rFonts w:ascii="Wingdings" w:hAnsi="Wingdings" w:hint="default"/>
      </w:rPr>
    </w:lvl>
    <w:lvl w:ilvl="6">
      <w:start w:val="1"/>
      <w:numFmt w:val="bullet"/>
      <w:lvlText w:val=""/>
      <w:lvlJc w:val="left"/>
      <w:pPr>
        <w:ind w:left="5207" w:hanging="360"/>
      </w:pPr>
      <w:rPr>
        <w:rFonts w:ascii="Symbol" w:hAnsi="Symbol" w:hint="default"/>
      </w:rPr>
    </w:lvl>
    <w:lvl w:ilvl="7">
      <w:start w:val="1"/>
      <w:numFmt w:val="bullet"/>
      <w:lvlText w:val="o"/>
      <w:lvlJc w:val="left"/>
      <w:pPr>
        <w:ind w:left="5927" w:hanging="360"/>
      </w:pPr>
      <w:rPr>
        <w:rFonts w:ascii="Courier New" w:hAnsi="Courier New" w:cs="Courier New" w:hint="default"/>
      </w:rPr>
    </w:lvl>
    <w:lvl w:ilvl="8">
      <w:start w:val="1"/>
      <w:numFmt w:val="bullet"/>
      <w:lvlText w:val=""/>
      <w:lvlJc w:val="left"/>
      <w:pPr>
        <w:ind w:left="6647" w:hanging="360"/>
      </w:pPr>
      <w:rPr>
        <w:rFonts w:ascii="Wingdings" w:hAnsi="Wingdings" w:hint="default"/>
      </w:rPr>
    </w:lvl>
  </w:abstractNum>
  <w:abstractNum w:abstractNumId="4" w15:restartNumberingAfterBreak="0">
    <w:nsid w:val="319439E6"/>
    <w:multiLevelType w:val="multilevel"/>
    <w:tmpl w:val="319439E6"/>
    <w:lvl w:ilvl="0">
      <w:start w:val="1"/>
      <w:numFmt w:val="none"/>
      <w:pStyle w:val="Heading1a"/>
      <w:suff w:val="nothing"/>
      <w:lvlText w:val="%1"/>
      <w:lvlJc w:val="left"/>
      <w:pPr>
        <w:ind w:left="0" w:firstLine="0"/>
      </w:pPr>
      <w:rPr>
        <w:rFonts w:hint="default"/>
      </w:rPr>
    </w:lvl>
    <w:lvl w:ilvl="1">
      <w:start w:val="1"/>
      <w:numFmt w:val="decimal"/>
      <w:lvlText w:val="%2."/>
      <w:lvlJc w:val="left"/>
      <w:pPr>
        <w:tabs>
          <w:tab w:val="left" w:pos="720"/>
        </w:tabs>
        <w:ind w:left="720" w:hanging="720"/>
      </w:pPr>
      <w:rPr>
        <w:rFonts w:hint="default"/>
        <w:sz w:val="24"/>
        <w:szCs w:val="24"/>
      </w:rPr>
    </w:lvl>
    <w:lvl w:ilvl="2">
      <w:start w:val="1"/>
      <w:numFmt w:val="none"/>
      <w:lvlText w:val=" (a)"/>
      <w:lvlJc w:val="left"/>
      <w:pPr>
        <w:tabs>
          <w:tab w:val="left" w:pos="720"/>
        </w:tabs>
        <w:ind w:left="720" w:hanging="720"/>
      </w:pPr>
      <w:rPr>
        <w:rFonts w:hint="default"/>
      </w:rPr>
    </w:lvl>
    <w:lvl w:ilvl="3">
      <w:start w:val="1"/>
      <w:numFmt w:val="lowerRoman"/>
      <w:pStyle w:val="Sub-Para2underX"/>
      <w:lvlText w:val="(%4)"/>
      <w:lvlJc w:val="left"/>
      <w:pPr>
        <w:tabs>
          <w:tab w:val="left" w:pos="1800"/>
        </w:tabs>
        <w:ind w:left="1080" w:hanging="360"/>
      </w:pPr>
      <w:rPr>
        <w:rFonts w:hint="default"/>
      </w:rPr>
    </w:lvl>
    <w:lvl w:ilvl="4">
      <w:start w:val="1"/>
      <w:numFmt w:val="lowerLetter"/>
      <w:pStyle w:val="Sub-Para3underX"/>
      <w:lvlText w:val="%5."/>
      <w:lvlJc w:val="left"/>
      <w:pPr>
        <w:tabs>
          <w:tab w:val="left" w:pos="1440"/>
        </w:tabs>
        <w:ind w:left="1440" w:hanging="360"/>
      </w:pPr>
      <w:rPr>
        <w:rFonts w:hint="default"/>
      </w:rPr>
    </w:lvl>
    <w:lvl w:ilvl="5">
      <w:start w:val="1"/>
      <w:numFmt w:val="lowerRoman"/>
      <w:pStyle w:val="Sub-Para4underX"/>
      <w:lvlText w:val="%6."/>
      <w:lvlJc w:val="left"/>
      <w:pPr>
        <w:tabs>
          <w:tab w:val="left" w:pos="2160"/>
        </w:tabs>
        <w:ind w:left="180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5" w15:restartNumberingAfterBreak="0">
    <w:nsid w:val="405705DA"/>
    <w:multiLevelType w:val="multilevel"/>
    <w:tmpl w:val="405705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4A4C08ED"/>
    <w:multiLevelType w:val="multilevel"/>
    <w:tmpl w:val="4A4C08ED"/>
    <w:lvl w:ilvl="0">
      <w:start w:val="1"/>
      <w:numFmt w:val="decimal"/>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C352D10"/>
    <w:multiLevelType w:val="multilevel"/>
    <w:tmpl w:val="5C352D10"/>
    <w:lvl w:ilvl="0">
      <w:start w:val="1"/>
      <w:numFmt w:val="lowerRoman"/>
      <w:lvlText w:val="(%1)"/>
      <w:lvlJc w:val="left"/>
      <w:pPr>
        <w:ind w:left="1827" w:hanging="360"/>
      </w:pPr>
      <w:rPr>
        <w:rFonts w:hint="default"/>
      </w:rPr>
    </w:lvl>
    <w:lvl w:ilvl="1">
      <w:start w:val="1"/>
      <w:numFmt w:val="bullet"/>
      <w:lvlText w:val=""/>
      <w:lvlJc w:val="left"/>
      <w:pPr>
        <w:ind w:left="2547" w:hanging="360"/>
      </w:pPr>
      <w:rPr>
        <w:rFonts w:ascii="Symbol" w:eastAsiaTheme="minorEastAsia" w:hAnsi="Symbol" w:cs="Times New Roman" w:hint="default"/>
      </w:rPr>
    </w:lvl>
    <w:lvl w:ilvl="2">
      <w:start w:val="1"/>
      <w:numFmt w:val="lowerRoman"/>
      <w:lvlText w:val="%3."/>
      <w:lvlJc w:val="right"/>
      <w:pPr>
        <w:ind w:left="3267" w:hanging="180"/>
      </w:pPr>
    </w:lvl>
    <w:lvl w:ilvl="3">
      <w:start w:val="1"/>
      <w:numFmt w:val="decimal"/>
      <w:lvlText w:val="%4."/>
      <w:lvlJc w:val="left"/>
      <w:pPr>
        <w:ind w:left="3987" w:hanging="360"/>
      </w:pPr>
    </w:lvl>
    <w:lvl w:ilvl="4">
      <w:start w:val="1"/>
      <w:numFmt w:val="lowerLetter"/>
      <w:lvlText w:val="%5."/>
      <w:lvlJc w:val="left"/>
      <w:pPr>
        <w:ind w:left="4707" w:hanging="360"/>
      </w:pPr>
    </w:lvl>
    <w:lvl w:ilvl="5">
      <w:start w:val="1"/>
      <w:numFmt w:val="lowerRoman"/>
      <w:lvlText w:val="%6."/>
      <w:lvlJc w:val="right"/>
      <w:pPr>
        <w:ind w:left="5427" w:hanging="180"/>
      </w:pPr>
    </w:lvl>
    <w:lvl w:ilvl="6">
      <w:start w:val="1"/>
      <w:numFmt w:val="decimal"/>
      <w:lvlText w:val="%7."/>
      <w:lvlJc w:val="left"/>
      <w:pPr>
        <w:ind w:left="6147" w:hanging="360"/>
      </w:pPr>
    </w:lvl>
    <w:lvl w:ilvl="7">
      <w:start w:val="1"/>
      <w:numFmt w:val="lowerLetter"/>
      <w:lvlText w:val="%8."/>
      <w:lvlJc w:val="left"/>
      <w:pPr>
        <w:ind w:left="6867" w:hanging="360"/>
      </w:pPr>
    </w:lvl>
    <w:lvl w:ilvl="8">
      <w:start w:val="1"/>
      <w:numFmt w:val="lowerRoman"/>
      <w:lvlText w:val="%9."/>
      <w:lvlJc w:val="right"/>
      <w:pPr>
        <w:ind w:left="7587" w:hanging="180"/>
      </w:pPr>
    </w:lvl>
  </w:abstractNum>
  <w:abstractNum w:abstractNumId="8" w15:restartNumberingAfterBreak="0">
    <w:nsid w:val="66686E67"/>
    <w:multiLevelType w:val="multilevel"/>
    <w:tmpl w:val="66686E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C9D752B"/>
    <w:multiLevelType w:val="multilevel"/>
    <w:tmpl w:val="7C9D75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7F763DAF"/>
    <w:multiLevelType w:val="singleLevel"/>
    <w:tmpl w:val="7F763DAF"/>
    <w:lvl w:ilvl="0">
      <w:start w:val="1"/>
      <w:numFmt w:val="bullet"/>
      <w:lvlText w:val=""/>
      <w:lvlJc w:val="left"/>
      <w:pPr>
        <w:tabs>
          <w:tab w:val="left" w:pos="420"/>
        </w:tabs>
        <w:ind w:left="420" w:hanging="420"/>
      </w:pPr>
      <w:rPr>
        <w:rFonts w:ascii="Wingdings" w:hAnsi="Wingdings" w:hint="default"/>
      </w:rPr>
    </w:lvl>
  </w:abstractNum>
  <w:num w:numId="1">
    <w:abstractNumId w:val="0"/>
  </w:num>
  <w:num w:numId="2">
    <w:abstractNumId w:val="4"/>
  </w:num>
  <w:num w:numId="3">
    <w:abstractNumId w:val="1"/>
  </w:num>
  <w:num w:numId="4">
    <w:abstractNumId w:val="3"/>
  </w:num>
  <w:num w:numId="5">
    <w:abstractNumId w:val="7"/>
  </w:num>
  <w:num w:numId="6">
    <w:abstractNumId w:val="9"/>
  </w:num>
  <w:num w:numId="7">
    <w:abstractNumId w:val="5"/>
  </w:num>
  <w:num w:numId="8">
    <w:abstractNumId w:val="6"/>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DB4"/>
    <w:rsid w:val="00000EFE"/>
    <w:rsid w:val="00001568"/>
    <w:rsid w:val="00010804"/>
    <w:rsid w:val="00014DF7"/>
    <w:rsid w:val="000151AE"/>
    <w:rsid w:val="00017EAA"/>
    <w:rsid w:val="00021304"/>
    <w:rsid w:val="00022BAF"/>
    <w:rsid w:val="00026567"/>
    <w:rsid w:val="00036FBD"/>
    <w:rsid w:val="000444DF"/>
    <w:rsid w:val="000472AD"/>
    <w:rsid w:val="00052961"/>
    <w:rsid w:val="000533A6"/>
    <w:rsid w:val="00056365"/>
    <w:rsid w:val="00057582"/>
    <w:rsid w:val="000706B0"/>
    <w:rsid w:val="000729CD"/>
    <w:rsid w:val="00072F5F"/>
    <w:rsid w:val="0008305C"/>
    <w:rsid w:val="00083368"/>
    <w:rsid w:val="0009327E"/>
    <w:rsid w:val="00095409"/>
    <w:rsid w:val="000A1DF0"/>
    <w:rsid w:val="000A3DB4"/>
    <w:rsid w:val="000A4309"/>
    <w:rsid w:val="000A6248"/>
    <w:rsid w:val="000B2D47"/>
    <w:rsid w:val="000B538A"/>
    <w:rsid w:val="000B75D4"/>
    <w:rsid w:val="000C2857"/>
    <w:rsid w:val="000C57AE"/>
    <w:rsid w:val="000D159A"/>
    <w:rsid w:val="000D2214"/>
    <w:rsid w:val="000D4E6A"/>
    <w:rsid w:val="000D79A2"/>
    <w:rsid w:val="000E60B1"/>
    <w:rsid w:val="000E74E3"/>
    <w:rsid w:val="000F17BB"/>
    <w:rsid w:val="000F1CF8"/>
    <w:rsid w:val="000F3EFE"/>
    <w:rsid w:val="000F49A8"/>
    <w:rsid w:val="00103D0E"/>
    <w:rsid w:val="00104791"/>
    <w:rsid w:val="00104E39"/>
    <w:rsid w:val="001139B9"/>
    <w:rsid w:val="00115C2F"/>
    <w:rsid w:val="00125C21"/>
    <w:rsid w:val="00130940"/>
    <w:rsid w:val="00133595"/>
    <w:rsid w:val="00133973"/>
    <w:rsid w:val="00140783"/>
    <w:rsid w:val="00141417"/>
    <w:rsid w:val="00145873"/>
    <w:rsid w:val="00154288"/>
    <w:rsid w:val="00156A85"/>
    <w:rsid w:val="001626F6"/>
    <w:rsid w:val="00167F27"/>
    <w:rsid w:val="001701BC"/>
    <w:rsid w:val="0017533A"/>
    <w:rsid w:val="0018306E"/>
    <w:rsid w:val="00191B7B"/>
    <w:rsid w:val="001941B1"/>
    <w:rsid w:val="00194A85"/>
    <w:rsid w:val="001979D7"/>
    <w:rsid w:val="00197D0B"/>
    <w:rsid w:val="001A1627"/>
    <w:rsid w:val="001A1EE7"/>
    <w:rsid w:val="001A301F"/>
    <w:rsid w:val="001A38A1"/>
    <w:rsid w:val="001B5F90"/>
    <w:rsid w:val="001B6BCC"/>
    <w:rsid w:val="001B7BA1"/>
    <w:rsid w:val="001C2D5D"/>
    <w:rsid w:val="001D4E86"/>
    <w:rsid w:val="001E09E1"/>
    <w:rsid w:val="001E33A7"/>
    <w:rsid w:val="001F0473"/>
    <w:rsid w:val="001F484E"/>
    <w:rsid w:val="00205768"/>
    <w:rsid w:val="00205D5C"/>
    <w:rsid w:val="00223010"/>
    <w:rsid w:val="00223B0D"/>
    <w:rsid w:val="00223D1B"/>
    <w:rsid w:val="00226017"/>
    <w:rsid w:val="00226645"/>
    <w:rsid w:val="00230353"/>
    <w:rsid w:val="00235628"/>
    <w:rsid w:val="00236D26"/>
    <w:rsid w:val="00260F3B"/>
    <w:rsid w:val="00262196"/>
    <w:rsid w:val="00262DE7"/>
    <w:rsid w:val="002667B2"/>
    <w:rsid w:val="00273312"/>
    <w:rsid w:val="00275A04"/>
    <w:rsid w:val="00283E1E"/>
    <w:rsid w:val="00284D77"/>
    <w:rsid w:val="00286377"/>
    <w:rsid w:val="00286A12"/>
    <w:rsid w:val="00295951"/>
    <w:rsid w:val="002960D4"/>
    <w:rsid w:val="002A0219"/>
    <w:rsid w:val="002A038B"/>
    <w:rsid w:val="002A2548"/>
    <w:rsid w:val="002A4560"/>
    <w:rsid w:val="002B1717"/>
    <w:rsid w:val="002E4075"/>
    <w:rsid w:val="002E764B"/>
    <w:rsid w:val="002F52C7"/>
    <w:rsid w:val="002F78AC"/>
    <w:rsid w:val="003022F4"/>
    <w:rsid w:val="00310E51"/>
    <w:rsid w:val="00316AE5"/>
    <w:rsid w:val="00321FF4"/>
    <w:rsid w:val="00327C68"/>
    <w:rsid w:val="00345D95"/>
    <w:rsid w:val="00345E32"/>
    <w:rsid w:val="00351A42"/>
    <w:rsid w:val="00352CA8"/>
    <w:rsid w:val="003556E5"/>
    <w:rsid w:val="003573D7"/>
    <w:rsid w:val="0036138F"/>
    <w:rsid w:val="003678EA"/>
    <w:rsid w:val="00367F00"/>
    <w:rsid w:val="00377A73"/>
    <w:rsid w:val="00391352"/>
    <w:rsid w:val="00395A5E"/>
    <w:rsid w:val="003A0B6A"/>
    <w:rsid w:val="003A5DAA"/>
    <w:rsid w:val="003A78DD"/>
    <w:rsid w:val="003B55AE"/>
    <w:rsid w:val="003B77CC"/>
    <w:rsid w:val="003C0491"/>
    <w:rsid w:val="003C0F9A"/>
    <w:rsid w:val="003C24BF"/>
    <w:rsid w:val="003C2618"/>
    <w:rsid w:val="003C3144"/>
    <w:rsid w:val="003C4B0E"/>
    <w:rsid w:val="003C77D5"/>
    <w:rsid w:val="003D2A2B"/>
    <w:rsid w:val="003D47FB"/>
    <w:rsid w:val="003E55DF"/>
    <w:rsid w:val="003F10C8"/>
    <w:rsid w:val="003F2886"/>
    <w:rsid w:val="003F2A6F"/>
    <w:rsid w:val="003F377E"/>
    <w:rsid w:val="003F3E38"/>
    <w:rsid w:val="003F67B3"/>
    <w:rsid w:val="0040068F"/>
    <w:rsid w:val="00403078"/>
    <w:rsid w:val="004052D5"/>
    <w:rsid w:val="00405B3C"/>
    <w:rsid w:val="00406174"/>
    <w:rsid w:val="004275CF"/>
    <w:rsid w:val="00433C0E"/>
    <w:rsid w:val="00435EDE"/>
    <w:rsid w:val="00436205"/>
    <w:rsid w:val="00436575"/>
    <w:rsid w:val="004471E7"/>
    <w:rsid w:val="00447953"/>
    <w:rsid w:val="00454658"/>
    <w:rsid w:val="00455265"/>
    <w:rsid w:val="00460A37"/>
    <w:rsid w:val="0046154D"/>
    <w:rsid w:val="00461B41"/>
    <w:rsid w:val="00464BB7"/>
    <w:rsid w:val="004661B5"/>
    <w:rsid w:val="00467D12"/>
    <w:rsid w:val="00471649"/>
    <w:rsid w:val="00471B3B"/>
    <w:rsid w:val="00472925"/>
    <w:rsid w:val="00474031"/>
    <w:rsid w:val="004835A7"/>
    <w:rsid w:val="00491AFC"/>
    <w:rsid w:val="00493C86"/>
    <w:rsid w:val="004974A2"/>
    <w:rsid w:val="004B300F"/>
    <w:rsid w:val="004B4910"/>
    <w:rsid w:val="004B62CD"/>
    <w:rsid w:val="004B65ED"/>
    <w:rsid w:val="004B6908"/>
    <w:rsid w:val="004B6BB5"/>
    <w:rsid w:val="004C0875"/>
    <w:rsid w:val="004C3BA4"/>
    <w:rsid w:val="004C79AB"/>
    <w:rsid w:val="004D5DF3"/>
    <w:rsid w:val="00510213"/>
    <w:rsid w:val="00520680"/>
    <w:rsid w:val="0052493E"/>
    <w:rsid w:val="00540380"/>
    <w:rsid w:val="00540636"/>
    <w:rsid w:val="00541168"/>
    <w:rsid w:val="00541C1B"/>
    <w:rsid w:val="0054226F"/>
    <w:rsid w:val="0054240C"/>
    <w:rsid w:val="00542CE8"/>
    <w:rsid w:val="00543DD8"/>
    <w:rsid w:val="00544DAD"/>
    <w:rsid w:val="005477BE"/>
    <w:rsid w:val="00552F1F"/>
    <w:rsid w:val="00554D24"/>
    <w:rsid w:val="00554ED4"/>
    <w:rsid w:val="005667A8"/>
    <w:rsid w:val="00570B8F"/>
    <w:rsid w:val="0057224D"/>
    <w:rsid w:val="00572764"/>
    <w:rsid w:val="00573052"/>
    <w:rsid w:val="00573F01"/>
    <w:rsid w:val="00576AAC"/>
    <w:rsid w:val="00576BB5"/>
    <w:rsid w:val="00580F5F"/>
    <w:rsid w:val="00584440"/>
    <w:rsid w:val="0058466C"/>
    <w:rsid w:val="00587248"/>
    <w:rsid w:val="005910CC"/>
    <w:rsid w:val="00592103"/>
    <w:rsid w:val="00593479"/>
    <w:rsid w:val="005A1995"/>
    <w:rsid w:val="005B0822"/>
    <w:rsid w:val="005B2896"/>
    <w:rsid w:val="005B7FB3"/>
    <w:rsid w:val="005C0516"/>
    <w:rsid w:val="005D1AA3"/>
    <w:rsid w:val="005D317B"/>
    <w:rsid w:val="005D324B"/>
    <w:rsid w:val="005D3D30"/>
    <w:rsid w:val="005D7BBC"/>
    <w:rsid w:val="005E2571"/>
    <w:rsid w:val="005F0043"/>
    <w:rsid w:val="005F3B00"/>
    <w:rsid w:val="005F5B5D"/>
    <w:rsid w:val="00601E38"/>
    <w:rsid w:val="006024EB"/>
    <w:rsid w:val="0060278D"/>
    <w:rsid w:val="0062055E"/>
    <w:rsid w:val="006206BE"/>
    <w:rsid w:val="0062204C"/>
    <w:rsid w:val="00622B10"/>
    <w:rsid w:val="00623E81"/>
    <w:rsid w:val="0062433E"/>
    <w:rsid w:val="006259AB"/>
    <w:rsid w:val="00625BE2"/>
    <w:rsid w:val="006267A3"/>
    <w:rsid w:val="006268F5"/>
    <w:rsid w:val="0063049E"/>
    <w:rsid w:val="00631855"/>
    <w:rsid w:val="00632812"/>
    <w:rsid w:val="00632847"/>
    <w:rsid w:val="0064034C"/>
    <w:rsid w:val="0064560B"/>
    <w:rsid w:val="006479A7"/>
    <w:rsid w:val="00650822"/>
    <w:rsid w:val="00667752"/>
    <w:rsid w:val="00672F12"/>
    <w:rsid w:val="00674AB2"/>
    <w:rsid w:val="00680E01"/>
    <w:rsid w:val="00681B73"/>
    <w:rsid w:val="00695B93"/>
    <w:rsid w:val="006A4B94"/>
    <w:rsid w:val="006A5BCE"/>
    <w:rsid w:val="006B41A9"/>
    <w:rsid w:val="006B578D"/>
    <w:rsid w:val="006B759B"/>
    <w:rsid w:val="006C5C46"/>
    <w:rsid w:val="006D498B"/>
    <w:rsid w:val="006D4B0C"/>
    <w:rsid w:val="006D4D0C"/>
    <w:rsid w:val="006E06A4"/>
    <w:rsid w:val="006E33F6"/>
    <w:rsid w:val="006E4943"/>
    <w:rsid w:val="006E516B"/>
    <w:rsid w:val="006F441E"/>
    <w:rsid w:val="006F7CBB"/>
    <w:rsid w:val="0070371D"/>
    <w:rsid w:val="00707CE4"/>
    <w:rsid w:val="007105CE"/>
    <w:rsid w:val="0071189C"/>
    <w:rsid w:val="0071227E"/>
    <w:rsid w:val="007165A0"/>
    <w:rsid w:val="0072145A"/>
    <w:rsid w:val="00721A83"/>
    <w:rsid w:val="0072353B"/>
    <w:rsid w:val="00727F12"/>
    <w:rsid w:val="007321C1"/>
    <w:rsid w:val="00734E94"/>
    <w:rsid w:val="00743CB5"/>
    <w:rsid w:val="00747287"/>
    <w:rsid w:val="00751438"/>
    <w:rsid w:val="00754AB5"/>
    <w:rsid w:val="007555C4"/>
    <w:rsid w:val="00762CDE"/>
    <w:rsid w:val="00764E30"/>
    <w:rsid w:val="0076671D"/>
    <w:rsid w:val="00766A32"/>
    <w:rsid w:val="007778CB"/>
    <w:rsid w:val="00781030"/>
    <w:rsid w:val="0078434A"/>
    <w:rsid w:val="0078478B"/>
    <w:rsid w:val="007855E1"/>
    <w:rsid w:val="00791243"/>
    <w:rsid w:val="0079163A"/>
    <w:rsid w:val="007927BD"/>
    <w:rsid w:val="007947CE"/>
    <w:rsid w:val="007A0F91"/>
    <w:rsid w:val="007A0FF5"/>
    <w:rsid w:val="007B0137"/>
    <w:rsid w:val="007B21FD"/>
    <w:rsid w:val="007B2671"/>
    <w:rsid w:val="007B70FD"/>
    <w:rsid w:val="007C2940"/>
    <w:rsid w:val="007C6034"/>
    <w:rsid w:val="007C758D"/>
    <w:rsid w:val="007D3F5B"/>
    <w:rsid w:val="007D5197"/>
    <w:rsid w:val="007D56C3"/>
    <w:rsid w:val="007D5A2E"/>
    <w:rsid w:val="007E53A6"/>
    <w:rsid w:val="007E7C44"/>
    <w:rsid w:val="007F4AD9"/>
    <w:rsid w:val="007F6A90"/>
    <w:rsid w:val="007F74B2"/>
    <w:rsid w:val="008008F3"/>
    <w:rsid w:val="00805B2E"/>
    <w:rsid w:val="00805BFC"/>
    <w:rsid w:val="00816711"/>
    <w:rsid w:val="00832512"/>
    <w:rsid w:val="008364BC"/>
    <w:rsid w:val="00836A6D"/>
    <w:rsid w:val="008436FC"/>
    <w:rsid w:val="00845AF1"/>
    <w:rsid w:val="008479D0"/>
    <w:rsid w:val="008479F3"/>
    <w:rsid w:val="00851571"/>
    <w:rsid w:val="0085433D"/>
    <w:rsid w:val="00865F56"/>
    <w:rsid w:val="008701BE"/>
    <w:rsid w:val="00870E59"/>
    <w:rsid w:val="0087211D"/>
    <w:rsid w:val="0087217E"/>
    <w:rsid w:val="00877B2D"/>
    <w:rsid w:val="00877DAB"/>
    <w:rsid w:val="00886DFA"/>
    <w:rsid w:val="008878F9"/>
    <w:rsid w:val="00893238"/>
    <w:rsid w:val="008A1238"/>
    <w:rsid w:val="008A3381"/>
    <w:rsid w:val="008A70C6"/>
    <w:rsid w:val="008B45CF"/>
    <w:rsid w:val="008B7B1E"/>
    <w:rsid w:val="008C123A"/>
    <w:rsid w:val="008C1937"/>
    <w:rsid w:val="008C438F"/>
    <w:rsid w:val="008C5F3D"/>
    <w:rsid w:val="008D3F30"/>
    <w:rsid w:val="008E7850"/>
    <w:rsid w:val="008F1910"/>
    <w:rsid w:val="00900A00"/>
    <w:rsid w:val="00902E8E"/>
    <w:rsid w:val="00913522"/>
    <w:rsid w:val="009152C3"/>
    <w:rsid w:val="00922BD9"/>
    <w:rsid w:val="009325B0"/>
    <w:rsid w:val="00937F90"/>
    <w:rsid w:val="00940F69"/>
    <w:rsid w:val="00943D9A"/>
    <w:rsid w:val="00944342"/>
    <w:rsid w:val="00946C58"/>
    <w:rsid w:val="009509BE"/>
    <w:rsid w:val="009522E0"/>
    <w:rsid w:val="00961090"/>
    <w:rsid w:val="009661D7"/>
    <w:rsid w:val="00970CF7"/>
    <w:rsid w:val="00971E5D"/>
    <w:rsid w:val="00992DC6"/>
    <w:rsid w:val="00995DC9"/>
    <w:rsid w:val="00996052"/>
    <w:rsid w:val="009A33E1"/>
    <w:rsid w:val="009A7DC5"/>
    <w:rsid w:val="009C4C07"/>
    <w:rsid w:val="009D0F57"/>
    <w:rsid w:val="009D3E9A"/>
    <w:rsid w:val="009D4E71"/>
    <w:rsid w:val="009D5EA0"/>
    <w:rsid w:val="009E0A26"/>
    <w:rsid w:val="009E5976"/>
    <w:rsid w:val="009E5F55"/>
    <w:rsid w:val="009E635C"/>
    <w:rsid w:val="009F0554"/>
    <w:rsid w:val="009F2D6B"/>
    <w:rsid w:val="009F48F4"/>
    <w:rsid w:val="00A07DD7"/>
    <w:rsid w:val="00A1130B"/>
    <w:rsid w:val="00A13152"/>
    <w:rsid w:val="00A217AE"/>
    <w:rsid w:val="00A24339"/>
    <w:rsid w:val="00A264F2"/>
    <w:rsid w:val="00A275FC"/>
    <w:rsid w:val="00A3520C"/>
    <w:rsid w:val="00A4229F"/>
    <w:rsid w:val="00A449C1"/>
    <w:rsid w:val="00A45703"/>
    <w:rsid w:val="00A50759"/>
    <w:rsid w:val="00A529B5"/>
    <w:rsid w:val="00A55738"/>
    <w:rsid w:val="00A56C0B"/>
    <w:rsid w:val="00A57EC7"/>
    <w:rsid w:val="00A631C0"/>
    <w:rsid w:val="00A63D5D"/>
    <w:rsid w:val="00A6468C"/>
    <w:rsid w:val="00A65E96"/>
    <w:rsid w:val="00A671E4"/>
    <w:rsid w:val="00A73A58"/>
    <w:rsid w:val="00A74A61"/>
    <w:rsid w:val="00A76A3C"/>
    <w:rsid w:val="00A916A2"/>
    <w:rsid w:val="00A94566"/>
    <w:rsid w:val="00A972C7"/>
    <w:rsid w:val="00A979DB"/>
    <w:rsid w:val="00AA73A0"/>
    <w:rsid w:val="00AA7C4C"/>
    <w:rsid w:val="00AB08C4"/>
    <w:rsid w:val="00AB71D3"/>
    <w:rsid w:val="00AB7468"/>
    <w:rsid w:val="00AC055F"/>
    <w:rsid w:val="00AC3EAF"/>
    <w:rsid w:val="00AD5AC4"/>
    <w:rsid w:val="00AE0AD1"/>
    <w:rsid w:val="00AE5A4F"/>
    <w:rsid w:val="00B003ED"/>
    <w:rsid w:val="00B04E5D"/>
    <w:rsid w:val="00B05901"/>
    <w:rsid w:val="00B1171A"/>
    <w:rsid w:val="00B219B8"/>
    <w:rsid w:val="00B2429E"/>
    <w:rsid w:val="00B242E6"/>
    <w:rsid w:val="00B243A5"/>
    <w:rsid w:val="00B31F64"/>
    <w:rsid w:val="00B338A9"/>
    <w:rsid w:val="00B34C3A"/>
    <w:rsid w:val="00B478F0"/>
    <w:rsid w:val="00B525D6"/>
    <w:rsid w:val="00B54B7F"/>
    <w:rsid w:val="00B55553"/>
    <w:rsid w:val="00B63519"/>
    <w:rsid w:val="00B65B52"/>
    <w:rsid w:val="00B660E8"/>
    <w:rsid w:val="00B73C9B"/>
    <w:rsid w:val="00B801B2"/>
    <w:rsid w:val="00B87E29"/>
    <w:rsid w:val="00B92A2B"/>
    <w:rsid w:val="00BA28E9"/>
    <w:rsid w:val="00BA7CDC"/>
    <w:rsid w:val="00BB5856"/>
    <w:rsid w:val="00BB6AFD"/>
    <w:rsid w:val="00BC12B7"/>
    <w:rsid w:val="00BC1815"/>
    <w:rsid w:val="00BC4500"/>
    <w:rsid w:val="00BC5424"/>
    <w:rsid w:val="00BD18E4"/>
    <w:rsid w:val="00BD330E"/>
    <w:rsid w:val="00BD4C7E"/>
    <w:rsid w:val="00BE2092"/>
    <w:rsid w:val="00BE5681"/>
    <w:rsid w:val="00BE7ED4"/>
    <w:rsid w:val="00BF10D7"/>
    <w:rsid w:val="00BF2C12"/>
    <w:rsid w:val="00BF315E"/>
    <w:rsid w:val="00BF58DA"/>
    <w:rsid w:val="00BF6233"/>
    <w:rsid w:val="00C043E5"/>
    <w:rsid w:val="00C0539C"/>
    <w:rsid w:val="00C06052"/>
    <w:rsid w:val="00C14351"/>
    <w:rsid w:val="00C17749"/>
    <w:rsid w:val="00C214DF"/>
    <w:rsid w:val="00C2280E"/>
    <w:rsid w:val="00C2307D"/>
    <w:rsid w:val="00C242F6"/>
    <w:rsid w:val="00C34F2C"/>
    <w:rsid w:val="00C519A6"/>
    <w:rsid w:val="00C650EF"/>
    <w:rsid w:val="00C6687F"/>
    <w:rsid w:val="00C717DD"/>
    <w:rsid w:val="00C71D1F"/>
    <w:rsid w:val="00C806C8"/>
    <w:rsid w:val="00C82021"/>
    <w:rsid w:val="00C82274"/>
    <w:rsid w:val="00C90A04"/>
    <w:rsid w:val="00C93D03"/>
    <w:rsid w:val="00C94BD4"/>
    <w:rsid w:val="00C97537"/>
    <w:rsid w:val="00CA0C6D"/>
    <w:rsid w:val="00CA2B61"/>
    <w:rsid w:val="00CA7C1C"/>
    <w:rsid w:val="00CB3D5B"/>
    <w:rsid w:val="00CB4DAF"/>
    <w:rsid w:val="00CB6B80"/>
    <w:rsid w:val="00CC3D1E"/>
    <w:rsid w:val="00CC5928"/>
    <w:rsid w:val="00CC7845"/>
    <w:rsid w:val="00CD3645"/>
    <w:rsid w:val="00CD64FC"/>
    <w:rsid w:val="00CD73B4"/>
    <w:rsid w:val="00CE1716"/>
    <w:rsid w:val="00CF6017"/>
    <w:rsid w:val="00D032A1"/>
    <w:rsid w:val="00D0353D"/>
    <w:rsid w:val="00D06597"/>
    <w:rsid w:val="00D073AD"/>
    <w:rsid w:val="00D07B74"/>
    <w:rsid w:val="00D1203E"/>
    <w:rsid w:val="00D125A2"/>
    <w:rsid w:val="00D14E59"/>
    <w:rsid w:val="00D230D9"/>
    <w:rsid w:val="00D2515F"/>
    <w:rsid w:val="00D32935"/>
    <w:rsid w:val="00D32D5D"/>
    <w:rsid w:val="00D3462E"/>
    <w:rsid w:val="00D37716"/>
    <w:rsid w:val="00D43058"/>
    <w:rsid w:val="00D51AF3"/>
    <w:rsid w:val="00D53F65"/>
    <w:rsid w:val="00D612A7"/>
    <w:rsid w:val="00D72C10"/>
    <w:rsid w:val="00D73BC7"/>
    <w:rsid w:val="00D74267"/>
    <w:rsid w:val="00D77051"/>
    <w:rsid w:val="00D814BF"/>
    <w:rsid w:val="00D9165E"/>
    <w:rsid w:val="00D9330C"/>
    <w:rsid w:val="00DB3EB8"/>
    <w:rsid w:val="00DB5EC7"/>
    <w:rsid w:val="00DC3755"/>
    <w:rsid w:val="00DC4C15"/>
    <w:rsid w:val="00DC526F"/>
    <w:rsid w:val="00DE012D"/>
    <w:rsid w:val="00DE61E2"/>
    <w:rsid w:val="00DF5C46"/>
    <w:rsid w:val="00E20346"/>
    <w:rsid w:val="00E21E1F"/>
    <w:rsid w:val="00E2217E"/>
    <w:rsid w:val="00E34A55"/>
    <w:rsid w:val="00E35DC5"/>
    <w:rsid w:val="00E36575"/>
    <w:rsid w:val="00E40904"/>
    <w:rsid w:val="00E43A8F"/>
    <w:rsid w:val="00E567CD"/>
    <w:rsid w:val="00E57719"/>
    <w:rsid w:val="00E60AFA"/>
    <w:rsid w:val="00E6119E"/>
    <w:rsid w:val="00E66BA1"/>
    <w:rsid w:val="00E6701E"/>
    <w:rsid w:val="00E83470"/>
    <w:rsid w:val="00E83A51"/>
    <w:rsid w:val="00E860B9"/>
    <w:rsid w:val="00E879D3"/>
    <w:rsid w:val="00E93B7E"/>
    <w:rsid w:val="00EA09FF"/>
    <w:rsid w:val="00EB0332"/>
    <w:rsid w:val="00EB10DA"/>
    <w:rsid w:val="00EB16F7"/>
    <w:rsid w:val="00EB56BF"/>
    <w:rsid w:val="00EB752E"/>
    <w:rsid w:val="00EC4C0C"/>
    <w:rsid w:val="00EC5554"/>
    <w:rsid w:val="00EC7E17"/>
    <w:rsid w:val="00ED1C16"/>
    <w:rsid w:val="00ED780B"/>
    <w:rsid w:val="00ED7C53"/>
    <w:rsid w:val="00EE006F"/>
    <w:rsid w:val="00EE1613"/>
    <w:rsid w:val="00EE3F7D"/>
    <w:rsid w:val="00EE6B92"/>
    <w:rsid w:val="00EE7F26"/>
    <w:rsid w:val="00EF2117"/>
    <w:rsid w:val="00EF7282"/>
    <w:rsid w:val="00F16642"/>
    <w:rsid w:val="00F20D53"/>
    <w:rsid w:val="00F231D7"/>
    <w:rsid w:val="00F24385"/>
    <w:rsid w:val="00F2511D"/>
    <w:rsid w:val="00F365B4"/>
    <w:rsid w:val="00F42A48"/>
    <w:rsid w:val="00F47E61"/>
    <w:rsid w:val="00F5693C"/>
    <w:rsid w:val="00F61010"/>
    <w:rsid w:val="00F61ABD"/>
    <w:rsid w:val="00F80695"/>
    <w:rsid w:val="00F8104F"/>
    <w:rsid w:val="00F845C9"/>
    <w:rsid w:val="00F90E1A"/>
    <w:rsid w:val="00F93828"/>
    <w:rsid w:val="00F93A6A"/>
    <w:rsid w:val="00F9709D"/>
    <w:rsid w:val="00FA032E"/>
    <w:rsid w:val="00FB0077"/>
    <w:rsid w:val="00FB010C"/>
    <w:rsid w:val="00FB6EC0"/>
    <w:rsid w:val="00FC6B0D"/>
    <w:rsid w:val="00FC6B5A"/>
    <w:rsid w:val="00FD1667"/>
    <w:rsid w:val="00FD17F2"/>
    <w:rsid w:val="00FD30AE"/>
    <w:rsid w:val="00FD5650"/>
    <w:rsid w:val="00FE5E27"/>
    <w:rsid w:val="00FE68C6"/>
    <w:rsid w:val="00FE7152"/>
    <w:rsid w:val="063565F7"/>
    <w:rsid w:val="08820183"/>
    <w:rsid w:val="094F7AAC"/>
    <w:rsid w:val="0A9A0A09"/>
    <w:rsid w:val="0B1B0D8E"/>
    <w:rsid w:val="0E21695A"/>
    <w:rsid w:val="1430177D"/>
    <w:rsid w:val="15065D8D"/>
    <w:rsid w:val="195F43AD"/>
    <w:rsid w:val="19771A54"/>
    <w:rsid w:val="19963FC1"/>
    <w:rsid w:val="202823C1"/>
    <w:rsid w:val="209A6308"/>
    <w:rsid w:val="237D7C71"/>
    <w:rsid w:val="29105A6E"/>
    <w:rsid w:val="29784198"/>
    <w:rsid w:val="2B3B1049"/>
    <w:rsid w:val="2E0A52EF"/>
    <w:rsid w:val="2E835E5F"/>
    <w:rsid w:val="334D5E19"/>
    <w:rsid w:val="33B169AF"/>
    <w:rsid w:val="367D6EF4"/>
    <w:rsid w:val="36EF2768"/>
    <w:rsid w:val="39941685"/>
    <w:rsid w:val="3ABD0336"/>
    <w:rsid w:val="3BD53EDD"/>
    <w:rsid w:val="40F2629D"/>
    <w:rsid w:val="41C52D32"/>
    <w:rsid w:val="43D019CF"/>
    <w:rsid w:val="492A0E97"/>
    <w:rsid w:val="4B935782"/>
    <w:rsid w:val="4DDA11A3"/>
    <w:rsid w:val="4EE72982"/>
    <w:rsid w:val="4FDD1842"/>
    <w:rsid w:val="50940B0D"/>
    <w:rsid w:val="54F8288E"/>
    <w:rsid w:val="569C7DDF"/>
    <w:rsid w:val="59381A7E"/>
    <w:rsid w:val="59A460D7"/>
    <w:rsid w:val="60911213"/>
    <w:rsid w:val="61A01C8E"/>
    <w:rsid w:val="63191B9D"/>
    <w:rsid w:val="65056DB7"/>
    <w:rsid w:val="695529AA"/>
    <w:rsid w:val="6B9869BF"/>
    <w:rsid w:val="6DA97D78"/>
    <w:rsid w:val="6FE3114C"/>
    <w:rsid w:val="70A66431"/>
    <w:rsid w:val="72814069"/>
    <w:rsid w:val="76885B01"/>
    <w:rsid w:val="78CE1193"/>
    <w:rsid w:val="79E41758"/>
    <w:rsid w:val="7C65003E"/>
    <w:rsid w:val="7ECD34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0316A9"/>
  <w15:docId w15:val="{4688CB00-6BA5-4F2C-8C55-30485B6F2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EastAsia" w:hAnsiTheme="minorHAnsi" w:cstheme="minorBidi"/>
      <w:sz w:val="22"/>
      <w:szCs w:val="22"/>
      <w:lang w:val="ru-RU" w:eastAsia="ru-RU"/>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unhideWhenUsed/>
    <w:qFormat/>
    <w:pPr>
      <w:keepNext/>
      <w:keepLines/>
      <w:numPr>
        <w:numId w:val="1"/>
      </w:numPr>
      <w:spacing w:before="80" w:after="80" w:line="240" w:lineRule="auto"/>
      <w:outlineLvl w:val="1"/>
    </w:pPr>
    <w:rPr>
      <w:rFonts w:ascii="Calibri" w:hAnsi="Calibri"/>
      <w:b/>
      <w:bCs/>
      <w:sz w:val="28"/>
      <w:szCs w:val="32"/>
    </w:rPr>
  </w:style>
  <w:style w:type="paragraph" w:styleId="3">
    <w:name w:val="heading 3"/>
    <w:basedOn w:val="a"/>
    <w:next w:val="a"/>
    <w:uiPriority w:val="9"/>
    <w:unhideWhenUsed/>
    <w:qFormat/>
    <w:pPr>
      <w:keepNext/>
      <w:keepLines/>
      <w:spacing w:before="20" w:after="20" w:line="416" w:lineRule="auto"/>
      <w:outlineLvl w:val="2"/>
    </w:pPr>
    <w:rPr>
      <w:b/>
      <w:bCs/>
      <w:sz w:val="24"/>
      <w:szCs w:val="32"/>
    </w:rPr>
  </w:style>
  <w:style w:type="paragraph" w:styleId="4">
    <w:name w:val="heading 4"/>
    <w:next w:val="a"/>
    <w:uiPriority w:val="9"/>
    <w:unhideWhenUsed/>
    <w:qFormat/>
    <w:pPr>
      <w:spacing w:beforeAutospacing="1" w:afterAutospacing="1"/>
      <w:outlineLvl w:val="3"/>
    </w:pPr>
    <w:rPr>
      <w:rFonts w:ascii="SimSun" w:hAnsi="SimSun" w:hint="eastAsia"/>
      <w:b/>
      <w:bCs/>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Body Text"/>
    <w:basedOn w:val="a"/>
    <w:link w:val="a6"/>
    <w:uiPriority w:val="99"/>
    <w:unhideWhenUsed/>
    <w:qFormat/>
    <w:pPr>
      <w:spacing w:after="120"/>
    </w:pPr>
  </w:style>
  <w:style w:type="paragraph" w:styleId="a7">
    <w:name w:val="Body Text Indent"/>
    <w:basedOn w:val="a"/>
    <w:link w:val="a8"/>
    <w:semiHidden/>
    <w:qFormat/>
    <w:pPr>
      <w:spacing w:after="0" w:line="240" w:lineRule="auto"/>
      <w:ind w:left="1440" w:hanging="720"/>
      <w:jc w:val="both"/>
    </w:pPr>
    <w:rPr>
      <w:rFonts w:ascii="Times New Roman" w:eastAsia="Times New Roman" w:hAnsi="Times New Roman" w:cs="Times New Roman"/>
      <w:sz w:val="24"/>
      <w:szCs w:val="20"/>
      <w:lang w:val="en-US" w:eastAsia="en-US"/>
    </w:rPr>
  </w:style>
  <w:style w:type="character" w:styleId="a9">
    <w:name w:val="annotation reference"/>
    <w:basedOn w:val="a0"/>
    <w:uiPriority w:val="99"/>
    <w:semiHidden/>
    <w:unhideWhenUsed/>
    <w:qFormat/>
    <w:rPr>
      <w:sz w:val="16"/>
      <w:szCs w:val="16"/>
    </w:rPr>
  </w:style>
  <w:style w:type="paragraph" w:styleId="aa">
    <w:name w:val="annotation text"/>
    <w:basedOn w:val="a"/>
    <w:link w:val="ab"/>
    <w:uiPriority w:val="99"/>
    <w:unhideWhenUsed/>
    <w:qFormat/>
    <w:pPr>
      <w:spacing w:line="240" w:lineRule="auto"/>
    </w:pPr>
    <w:rPr>
      <w:sz w:val="20"/>
      <w:szCs w:val="20"/>
    </w:rPr>
  </w:style>
  <w:style w:type="paragraph" w:styleId="ac">
    <w:name w:val="annotation subject"/>
    <w:basedOn w:val="aa"/>
    <w:next w:val="aa"/>
    <w:link w:val="ad"/>
    <w:uiPriority w:val="99"/>
    <w:unhideWhenUsed/>
    <w:qFormat/>
    <w:rPr>
      <w:b/>
      <w:bCs/>
    </w:rPr>
  </w:style>
  <w:style w:type="character" w:styleId="ae">
    <w:name w:val="Emphasis"/>
    <w:basedOn w:val="a0"/>
    <w:uiPriority w:val="20"/>
    <w:qFormat/>
    <w:rPr>
      <w:i/>
      <w:iCs/>
    </w:rPr>
  </w:style>
  <w:style w:type="paragraph" w:styleId="af">
    <w:name w:val="footer"/>
    <w:basedOn w:val="a"/>
    <w:link w:val="af0"/>
    <w:uiPriority w:val="99"/>
    <w:qFormat/>
    <w:pPr>
      <w:tabs>
        <w:tab w:val="center" w:pos="4320"/>
        <w:tab w:val="right" w:pos="8640"/>
      </w:tabs>
      <w:spacing w:after="0" w:line="240" w:lineRule="auto"/>
      <w:jc w:val="both"/>
    </w:pPr>
    <w:rPr>
      <w:rFonts w:ascii="Times New Roman" w:eastAsia="Times New Roman" w:hAnsi="Times New Roman" w:cs="Times New Roman"/>
      <w:sz w:val="24"/>
      <w:szCs w:val="20"/>
      <w:lang w:val="en-US" w:eastAsia="en-US"/>
    </w:rPr>
  </w:style>
  <w:style w:type="character" w:styleId="af1">
    <w:name w:val="footnote reference"/>
    <w:basedOn w:val="a0"/>
    <w:semiHidden/>
    <w:qFormat/>
    <w:rPr>
      <w:rFonts w:ascii="Times New Roman" w:hAnsi="Times New Roman"/>
      <w:position w:val="0"/>
      <w:sz w:val="24"/>
      <w:vertAlign w:val="superscript"/>
    </w:rPr>
  </w:style>
  <w:style w:type="paragraph" w:styleId="af2">
    <w:name w:val="footnote text"/>
    <w:basedOn w:val="a"/>
    <w:link w:val="af3"/>
    <w:semiHidden/>
    <w:qFormat/>
    <w:pPr>
      <w:spacing w:after="120" w:line="240" w:lineRule="auto"/>
      <w:ind w:left="432" w:hanging="432"/>
      <w:jc w:val="both"/>
    </w:pPr>
    <w:rPr>
      <w:rFonts w:ascii="Times New Roman" w:eastAsia="Times New Roman" w:hAnsi="Times New Roman" w:cs="Times New Roman"/>
      <w:sz w:val="20"/>
      <w:szCs w:val="20"/>
      <w:lang w:val="en-US" w:eastAsia="en-US"/>
    </w:rPr>
  </w:style>
  <w:style w:type="paragraph" w:styleId="af4">
    <w:name w:val="header"/>
    <w:basedOn w:val="a"/>
    <w:link w:val="af5"/>
    <w:uiPriority w:val="99"/>
    <w:unhideWhenUsed/>
    <w:qFormat/>
    <w:pPr>
      <w:tabs>
        <w:tab w:val="center" w:pos="4680"/>
        <w:tab w:val="right" w:pos="9360"/>
      </w:tabs>
      <w:spacing w:after="0" w:line="240" w:lineRule="auto"/>
    </w:p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styleId="af6">
    <w:name w:val="Hyperlink"/>
    <w:basedOn w:val="a0"/>
    <w:unhideWhenUsed/>
    <w:qFormat/>
    <w:rPr>
      <w:color w:val="0563C1" w:themeColor="hyperlink"/>
      <w:u w:val="single"/>
    </w:rPr>
  </w:style>
  <w:style w:type="paragraph" w:styleId="af7">
    <w:name w:val="Normal (Web)"/>
    <w:uiPriority w:val="99"/>
    <w:semiHidden/>
    <w:unhideWhenUsed/>
    <w:qFormat/>
    <w:pPr>
      <w:spacing w:beforeAutospacing="1" w:afterAutospacing="1"/>
    </w:pPr>
    <w:rPr>
      <w:sz w:val="24"/>
      <w:szCs w:val="24"/>
      <w:lang w:eastAsia="zh-CN"/>
    </w:rPr>
  </w:style>
  <w:style w:type="character" w:styleId="af8">
    <w:name w:val="Strong"/>
    <w:basedOn w:val="a0"/>
    <w:uiPriority w:val="22"/>
    <w:qFormat/>
    <w:rPr>
      <w:b/>
      <w:bCs/>
    </w:rPr>
  </w:style>
  <w:style w:type="paragraph" w:styleId="af9">
    <w:name w:val="Title"/>
    <w:basedOn w:val="a"/>
    <w:uiPriority w:val="10"/>
    <w:qFormat/>
    <w:pPr>
      <w:spacing w:before="240" w:after="60"/>
      <w:jc w:val="center"/>
      <w:outlineLvl w:val="0"/>
    </w:pPr>
    <w:rPr>
      <w:rFonts w:ascii="Arial" w:hAnsi="Arial" w:cs="Arial"/>
      <w:b/>
      <w:bCs/>
      <w:sz w:val="32"/>
      <w:szCs w:val="32"/>
    </w:rPr>
  </w:style>
  <w:style w:type="paragraph" w:styleId="afa">
    <w:name w:val="List Paragraph"/>
    <w:basedOn w:val="a"/>
    <w:link w:val="afb"/>
    <w:uiPriority w:val="34"/>
    <w:qFormat/>
    <w:pPr>
      <w:ind w:left="720"/>
      <w:contextualSpacing/>
    </w:pPr>
    <w:rPr>
      <w:rFonts w:eastAsiaTheme="minorHAnsi"/>
      <w:lang w:eastAsia="en-US"/>
    </w:rPr>
  </w:style>
  <w:style w:type="paragraph" w:customStyle="1" w:styleId="Heading1a">
    <w:name w:val="Heading 1a"/>
    <w:basedOn w:val="a"/>
    <w:next w:val="a"/>
    <w:qFormat/>
    <w:pPr>
      <w:keepNext/>
      <w:keepLines/>
      <w:numPr>
        <w:numId w:val="2"/>
      </w:numPr>
      <w:spacing w:before="480" w:after="240" w:line="240" w:lineRule="auto"/>
      <w:jc w:val="center"/>
      <w:outlineLvl w:val="0"/>
    </w:pPr>
    <w:rPr>
      <w:rFonts w:ascii="Times New Roman" w:eastAsia="Times New Roman" w:hAnsi="Times New Roman" w:cs="Times New Roman"/>
      <w:b/>
      <w:caps/>
      <w:sz w:val="32"/>
      <w:szCs w:val="24"/>
      <w:lang w:val="en-US" w:eastAsia="en-US"/>
    </w:rPr>
  </w:style>
  <w:style w:type="paragraph" w:customStyle="1" w:styleId="MainParanoChapter">
    <w:name w:val="Main Para no Chapter #"/>
    <w:basedOn w:val="a"/>
    <w:qFormat/>
    <w:pPr>
      <w:spacing w:after="240" w:line="240" w:lineRule="auto"/>
      <w:jc w:val="both"/>
      <w:outlineLvl w:val="1"/>
    </w:pPr>
    <w:rPr>
      <w:rFonts w:ascii="Times New Roman" w:eastAsia="Times New Roman" w:hAnsi="Times New Roman" w:cs="Times New Roman"/>
      <w:sz w:val="24"/>
      <w:szCs w:val="24"/>
      <w:lang w:val="en-US" w:eastAsia="en-US"/>
    </w:rPr>
  </w:style>
  <w:style w:type="paragraph" w:customStyle="1" w:styleId="Sub-Para2underX">
    <w:name w:val="Sub-Para 2 under X."/>
    <w:basedOn w:val="a"/>
    <w:qFormat/>
    <w:pPr>
      <w:numPr>
        <w:ilvl w:val="3"/>
        <w:numId w:val="2"/>
      </w:numPr>
      <w:spacing w:after="240" w:line="240" w:lineRule="auto"/>
      <w:jc w:val="both"/>
      <w:outlineLvl w:val="3"/>
    </w:pPr>
    <w:rPr>
      <w:rFonts w:ascii="Times New Roman" w:eastAsia="Times New Roman" w:hAnsi="Times New Roman" w:cs="Times New Roman"/>
      <w:sz w:val="24"/>
      <w:szCs w:val="24"/>
      <w:lang w:val="en-US" w:eastAsia="en-US"/>
    </w:rPr>
  </w:style>
  <w:style w:type="paragraph" w:customStyle="1" w:styleId="Sub-Para3underX">
    <w:name w:val="Sub-Para 3 under X."/>
    <w:basedOn w:val="a"/>
    <w:qFormat/>
    <w:pPr>
      <w:numPr>
        <w:ilvl w:val="4"/>
        <w:numId w:val="2"/>
      </w:numPr>
      <w:spacing w:after="240" w:line="240" w:lineRule="auto"/>
      <w:jc w:val="both"/>
      <w:outlineLvl w:val="4"/>
    </w:pPr>
    <w:rPr>
      <w:rFonts w:ascii="Times New Roman" w:eastAsia="Times New Roman" w:hAnsi="Times New Roman" w:cs="Times New Roman"/>
      <w:sz w:val="24"/>
      <w:szCs w:val="24"/>
      <w:lang w:val="en-US" w:eastAsia="en-US"/>
    </w:rPr>
  </w:style>
  <w:style w:type="paragraph" w:customStyle="1" w:styleId="Sub-Para4underX">
    <w:name w:val="Sub-Para 4 under X."/>
    <w:basedOn w:val="a"/>
    <w:qFormat/>
    <w:pPr>
      <w:numPr>
        <w:ilvl w:val="5"/>
        <w:numId w:val="2"/>
      </w:numPr>
      <w:spacing w:after="240" w:line="240" w:lineRule="auto"/>
      <w:jc w:val="both"/>
      <w:outlineLvl w:val="5"/>
    </w:pPr>
    <w:rPr>
      <w:rFonts w:ascii="Times New Roman" w:eastAsia="Times New Roman" w:hAnsi="Times New Roman" w:cs="Times New Roman"/>
      <w:sz w:val="24"/>
      <w:szCs w:val="24"/>
      <w:lang w:val="en-US" w:eastAsia="en-US"/>
    </w:rPr>
  </w:style>
  <w:style w:type="character" w:customStyle="1" w:styleId="a8">
    <w:name w:val="Основной текст с отступом Знак"/>
    <w:basedOn w:val="a0"/>
    <w:link w:val="a7"/>
    <w:semiHidden/>
    <w:qFormat/>
    <w:rPr>
      <w:rFonts w:ascii="Times New Roman" w:eastAsia="Times New Roman" w:hAnsi="Times New Roman" w:cs="Times New Roman"/>
      <w:sz w:val="24"/>
      <w:szCs w:val="20"/>
    </w:rPr>
  </w:style>
  <w:style w:type="character" w:customStyle="1" w:styleId="af3">
    <w:name w:val="Текст сноски Знак"/>
    <w:basedOn w:val="a0"/>
    <w:link w:val="af2"/>
    <w:semiHidden/>
    <w:qFormat/>
    <w:rPr>
      <w:rFonts w:ascii="Times New Roman" w:eastAsia="Times New Roman" w:hAnsi="Times New Roman" w:cs="Times New Roman"/>
      <w:sz w:val="20"/>
      <w:szCs w:val="20"/>
    </w:rPr>
  </w:style>
  <w:style w:type="character" w:customStyle="1" w:styleId="af0">
    <w:name w:val="Нижний колонтитул Знак"/>
    <w:basedOn w:val="a0"/>
    <w:link w:val="af"/>
    <w:uiPriority w:val="99"/>
    <w:qFormat/>
    <w:rPr>
      <w:rFonts w:ascii="Times New Roman" w:eastAsia="Times New Roman" w:hAnsi="Times New Roman" w:cs="Times New Roman"/>
      <w:sz w:val="24"/>
      <w:szCs w:val="20"/>
    </w:rPr>
  </w:style>
  <w:style w:type="character" w:customStyle="1" w:styleId="ab">
    <w:name w:val="Текст примечания Знак"/>
    <w:basedOn w:val="a0"/>
    <w:link w:val="aa"/>
    <w:uiPriority w:val="99"/>
    <w:qFormat/>
    <w:rPr>
      <w:rFonts w:eastAsiaTheme="minorEastAsia"/>
      <w:sz w:val="20"/>
      <w:szCs w:val="20"/>
      <w:lang w:val="ru-RU" w:eastAsia="ru-RU"/>
    </w:rPr>
  </w:style>
  <w:style w:type="character" w:customStyle="1" w:styleId="ad">
    <w:name w:val="Тема примечания Знак"/>
    <w:basedOn w:val="ab"/>
    <w:link w:val="ac"/>
    <w:uiPriority w:val="99"/>
    <w:semiHidden/>
    <w:qFormat/>
    <w:rPr>
      <w:rFonts w:eastAsiaTheme="minorEastAsia"/>
      <w:b/>
      <w:bCs/>
      <w:sz w:val="20"/>
      <w:szCs w:val="20"/>
      <w:lang w:val="ru-RU" w:eastAsia="ru-RU"/>
    </w:rPr>
  </w:style>
  <w:style w:type="character" w:customStyle="1" w:styleId="a4">
    <w:name w:val="Текст выноски Знак"/>
    <w:basedOn w:val="a0"/>
    <w:link w:val="a3"/>
    <w:uiPriority w:val="99"/>
    <w:semiHidden/>
    <w:qFormat/>
    <w:rPr>
      <w:rFonts w:ascii="Segoe UI" w:eastAsiaTheme="minorEastAsia" w:hAnsi="Segoe UI" w:cs="Segoe UI"/>
      <w:sz w:val="18"/>
      <w:szCs w:val="18"/>
      <w:lang w:val="ru-RU" w:eastAsia="ru-RU"/>
    </w:rPr>
  </w:style>
  <w:style w:type="character" w:customStyle="1" w:styleId="afb">
    <w:name w:val="Абзац списка Знак"/>
    <w:link w:val="afa"/>
    <w:uiPriority w:val="34"/>
    <w:qFormat/>
    <w:locked/>
    <w:rPr>
      <w:lang w:val="ru-RU"/>
    </w:rPr>
  </w:style>
  <w:style w:type="character" w:customStyle="1" w:styleId="HTML0">
    <w:name w:val="Стандартный HTML Знак"/>
    <w:basedOn w:val="a0"/>
    <w:link w:val="HTML"/>
    <w:uiPriority w:val="99"/>
    <w:semiHidden/>
    <w:qFormat/>
    <w:rPr>
      <w:rFonts w:ascii="Courier New" w:eastAsia="Times New Roman" w:hAnsi="Courier New" w:cs="Courier New"/>
      <w:sz w:val="20"/>
      <w:szCs w:val="20"/>
    </w:rPr>
  </w:style>
  <w:style w:type="character" w:customStyle="1" w:styleId="af5">
    <w:name w:val="Верхний колонтитул Знак"/>
    <w:basedOn w:val="a0"/>
    <w:link w:val="af4"/>
    <w:uiPriority w:val="99"/>
    <w:qFormat/>
    <w:rPr>
      <w:rFonts w:eastAsiaTheme="minorEastAsia"/>
      <w:lang w:val="ru-RU" w:eastAsia="ru-RU"/>
    </w:rPr>
  </w:style>
  <w:style w:type="character" w:customStyle="1" w:styleId="a6">
    <w:name w:val="Основной текст Знак"/>
    <w:basedOn w:val="a0"/>
    <w:link w:val="a5"/>
    <w:uiPriority w:val="99"/>
    <w:semiHidden/>
    <w:qFormat/>
    <w:rPr>
      <w:rFonts w:eastAsiaTheme="minorEastAsia"/>
      <w:lang w:val="ru-RU" w:eastAsia="ru-RU"/>
    </w:rPr>
  </w:style>
  <w:style w:type="paragraph" w:customStyle="1" w:styleId="10">
    <w:name w:val="Рецензия1"/>
    <w:hidden/>
    <w:uiPriority w:val="99"/>
    <w:semiHidden/>
    <w:qFormat/>
    <w:rPr>
      <w:rFonts w:asciiTheme="minorHAnsi" w:eastAsiaTheme="minorEastAsia" w:hAnsiTheme="minorHAnsi" w:cstheme="minorBidi"/>
      <w:sz w:val="22"/>
      <w:szCs w:val="22"/>
      <w:lang w:val="ru-RU" w:eastAsia="ru-RU"/>
    </w:rPr>
  </w:style>
  <w:style w:type="paragraph" w:customStyle="1" w:styleId="Annex">
    <w:name w:val="Annex//"/>
    <w:basedOn w:val="af9"/>
    <w:qFormat/>
    <w:pPr>
      <w:jc w:val="right"/>
    </w:pPr>
    <w:rPr>
      <w:rFonts w:asciiTheme="minorHAnsi" w:hAnsiTheme="minorHAnsi"/>
      <w:sz w:val="24"/>
      <w:lang w:val="en-US"/>
    </w:rPr>
  </w:style>
  <w:style w:type="paragraph" w:customStyle="1" w:styleId="Revision1">
    <w:name w:val="Revision1"/>
    <w:hidden/>
    <w:uiPriority w:val="99"/>
    <w:unhideWhenUsed/>
    <w:qFormat/>
    <w:rPr>
      <w:rFonts w:asciiTheme="minorHAnsi" w:eastAsiaTheme="minorEastAsia" w:hAnsiTheme="minorHAnsi" w:cstheme="minorBidi"/>
      <w:sz w:val="22"/>
      <w:szCs w:val="22"/>
      <w:lang w:val="ru-RU" w:eastAsia="ru-RU"/>
    </w:rPr>
  </w:style>
  <w:style w:type="paragraph" w:customStyle="1" w:styleId="Revision2">
    <w:name w:val="Revision2"/>
    <w:hidden/>
    <w:uiPriority w:val="99"/>
    <w:unhideWhenUsed/>
    <w:qFormat/>
    <w:rPr>
      <w:rFonts w:asciiTheme="minorHAnsi" w:eastAsiaTheme="minorEastAsia" w:hAnsiTheme="minorHAnsi" w:cstheme="minorBidi"/>
      <w:sz w:val="22"/>
      <w:szCs w:val="22"/>
      <w:lang w:val="ru-RU" w:eastAsia="ru-RU"/>
    </w:rPr>
  </w:style>
  <w:style w:type="paragraph" w:customStyle="1" w:styleId="Revision3">
    <w:name w:val="Revision3"/>
    <w:hidden/>
    <w:uiPriority w:val="99"/>
    <w:unhideWhenUsed/>
    <w:qFormat/>
    <w:rPr>
      <w:rFonts w:asciiTheme="minorHAnsi" w:eastAsiaTheme="minorEastAsia" w:hAnsiTheme="minorHAnsi" w:cstheme="minorBidi"/>
      <w:sz w:val="22"/>
      <w:szCs w:val="22"/>
      <w:lang w:val="ru-RU" w:eastAsia="ru-RU"/>
    </w:rPr>
  </w:style>
  <w:style w:type="paragraph" w:customStyle="1" w:styleId="Default">
    <w:name w:val="Default"/>
    <w:qFormat/>
    <w:pPr>
      <w:autoSpaceDE w:val="0"/>
      <w:autoSpaceDN w:val="0"/>
      <w:adjustRightInd w:val="0"/>
    </w:pPr>
    <w:rPr>
      <w:rFonts w:ascii="Roboto Light" w:hAnsi="Roboto Light" w:cs="Roboto Light"/>
      <w:color w:val="000000"/>
      <w:sz w:val="24"/>
      <w:szCs w:val="24"/>
    </w:rPr>
  </w:style>
  <w:style w:type="paragraph" w:customStyle="1" w:styleId="Revision4">
    <w:name w:val="Revision4"/>
    <w:hidden/>
    <w:uiPriority w:val="99"/>
    <w:unhideWhenUsed/>
    <w:qFormat/>
    <w:rPr>
      <w:rFonts w:asciiTheme="minorHAnsi" w:eastAsiaTheme="minorEastAsia" w:hAnsiTheme="minorHAnsi" w:cstheme="minorBidi"/>
      <w:sz w:val="22"/>
      <w:szCs w:val="22"/>
      <w:lang w:val="ru-RU" w:eastAsia="ru-RU"/>
    </w:rPr>
  </w:style>
  <w:style w:type="paragraph" w:customStyle="1" w:styleId="Revision5">
    <w:name w:val="Revision5"/>
    <w:hidden/>
    <w:uiPriority w:val="99"/>
    <w:unhideWhenUsed/>
    <w:qFormat/>
    <w:rPr>
      <w:rFonts w:asciiTheme="minorHAnsi" w:eastAsiaTheme="minorEastAsia" w:hAnsiTheme="minorHAnsi" w:cstheme="minorBidi"/>
      <w:sz w:val="22"/>
      <w:szCs w:val="22"/>
      <w:lang w:val="ru-RU" w:eastAsia="ru-RU"/>
    </w:rPr>
  </w:style>
  <w:style w:type="paragraph" w:customStyle="1" w:styleId="20">
    <w:name w:val="Рецензия2"/>
    <w:hidden/>
    <w:uiPriority w:val="99"/>
    <w:unhideWhenUsed/>
    <w:qFormat/>
    <w:rPr>
      <w:rFonts w:asciiTheme="minorHAnsi" w:eastAsiaTheme="minorEastAsia" w:hAnsiTheme="minorHAnsi" w:cstheme="minorBidi"/>
      <w:sz w:val="22"/>
      <w:szCs w:val="22"/>
      <w:lang w:val="ru-RU" w:eastAsia="ru-RU"/>
    </w:rPr>
  </w:style>
  <w:style w:type="paragraph" w:customStyle="1" w:styleId="30">
    <w:name w:val="Рецензия3"/>
    <w:hidden/>
    <w:uiPriority w:val="99"/>
    <w:unhideWhenUsed/>
    <w:qFormat/>
    <w:rPr>
      <w:rFonts w:asciiTheme="minorHAnsi" w:eastAsiaTheme="minorEastAsia" w:hAnsiTheme="minorHAnsi" w:cstheme="minorBidi"/>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0899DB3EB7D6142A1B52744885A7A2F" ma:contentTypeVersion="14" ma:contentTypeDescription="Create a new document." ma:contentTypeScope="" ma:versionID="b0ecac6c635256e5887cfe7a86718a86">
  <xsd:schema xmlns:xsd="http://www.w3.org/2001/XMLSchema" xmlns:xs="http://www.w3.org/2001/XMLSchema" xmlns:p="http://schemas.microsoft.com/office/2006/metadata/properties" xmlns:ns3="a7232531-60b4-4bee-b548-090713945d0f" xmlns:ns4="add22691-8de0-4247-8f60-03d91a80a7df" targetNamespace="http://schemas.microsoft.com/office/2006/metadata/properties" ma:root="true" ma:fieldsID="b99d2bc9dd73e727d4798c223f1b3f4b" ns3:_="" ns4:_="">
    <xsd:import namespace="a7232531-60b4-4bee-b548-090713945d0f"/>
    <xsd:import namespace="add22691-8de0-4247-8f60-03d91a80a7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232531-60b4-4bee-b548-090713945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d22691-8de0-4247-8f60-03d91a80a7d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1EEB62-7FBB-49DB-8CE1-D34FDB1C59E8}">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0EB1B3FE-D44D-4269-A98A-6B98B9D53D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9FC2F1-C74B-47CD-A506-B8CDEBB1F4AE}">
  <ds:schemaRefs>
    <ds:schemaRef ds:uri="http://schemas.openxmlformats.org/officeDocument/2006/bibliography"/>
  </ds:schemaRefs>
</ds:datastoreItem>
</file>

<file path=customXml/itemProps5.xml><?xml version="1.0" encoding="utf-8"?>
<ds:datastoreItem xmlns:ds="http://schemas.openxmlformats.org/officeDocument/2006/customXml" ds:itemID="{3929C3E1-66EA-4AFA-B32F-00396ACB5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232531-60b4-4bee-b548-090713945d0f"/>
    <ds:schemaRef ds:uri="add22691-8de0-4247-8f60-03d91a80a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4525</Words>
  <Characters>25795</Characters>
  <Application>Microsoft Office Word</Application>
  <DocSecurity>0</DocSecurity>
  <Lines>214</Lines>
  <Paragraphs>60</Paragraphs>
  <ScaleCrop>false</ScaleCrop>
  <Company/>
  <LinksUpToDate>false</LinksUpToDate>
  <CharactersWithSpaces>30260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Alibek Narboyev</dc:creator>
  <cp:lastModifiedBy>Bobirkhon Mirbabaev</cp:lastModifiedBy>
  <cp:revision>2</cp:revision>
  <cp:lastPrinted>2023-03-16T12:43:00Z</cp:lastPrinted>
  <dcterms:created xsi:type="dcterms:W3CDTF">2026-10-08T07:28:00Z</dcterms:created>
  <dcterms:modified xsi:type="dcterms:W3CDTF">2026-10-08T07:28:00Z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0x01010050899DB3EB7D6142A1B52744885A7A2F</vt:lpwstr>
  </property>
  <property fmtid="{D5CDD505-2E9C-101B-9397-08002B2CF9AE}" pid="3" name="MSIP_Label_9ef4adf7-25a7-4f52-a61a-df7190f1d881_Enabled">
    <vt:lpwstr>true</vt:lpwstr>
  </property>
  <property fmtid="{D5CDD505-2E9C-101B-9397-08002B2CF9AE}" pid="4" name="MSIP_Label_9ef4adf7-25a7-4f52-a61a-df7190f1d881_SetDate">
    <vt:lpwstr>2023-04-20T04:20:31Z</vt:lpwstr>
  </property>
  <property fmtid="{D5CDD505-2E9C-101B-9397-08002B2CF9AE}" pid="5" name="MSIP_Label_9ef4adf7-25a7-4f52-a61a-df7190f1d881_Method">
    <vt:lpwstr>Standard</vt:lpwstr>
  </property>
  <property fmtid="{D5CDD505-2E9C-101B-9397-08002B2CF9AE}" pid="6" name="MSIP_Label_9ef4adf7-25a7-4f52-a61a-df7190f1d881_Name">
    <vt:lpwstr>Category C - Protected</vt:lpwstr>
  </property>
  <property fmtid="{D5CDD505-2E9C-101B-9397-08002B2CF9AE}" pid="7" name="MSIP_Label_9ef4adf7-25a7-4f52-a61a-df7190f1d881_SiteId">
    <vt:lpwstr>8fa69c26-409d-43e5-973c-17a8be1a7f35</vt:lpwstr>
  </property>
  <property fmtid="{D5CDD505-2E9C-101B-9397-08002B2CF9AE}" pid="8" name="MSIP_Label_9ef4adf7-25a7-4f52-a61a-df7190f1d881_ActionId">
    <vt:lpwstr>618a9971-92e6-4b9b-a063-22bfee90bd4f</vt:lpwstr>
  </property>
  <property fmtid="{D5CDD505-2E9C-101B-9397-08002B2CF9AE}" pid="9" name="MSIP_Label_9ef4adf7-25a7-4f52-a61a-df7190f1d881_ContentBits">
    <vt:lpwstr>1</vt:lpwstr>
  </property>
  <property fmtid="{D5CDD505-2E9C-101B-9397-08002B2CF9AE}" pid="10" name="GrammarlyDocumentId">
    <vt:lpwstr>40695101403953353a080b33165137d137380674c91a33d72b46b784600eec0e</vt:lpwstr>
  </property>
  <property fmtid="{D5CDD505-2E9C-101B-9397-08002B2CF9AE}" pid="11" name="KSOProductBuildVer">
    <vt:lpwstr>1033-12.1.0.28485</vt:lpwstr>
  </property>
  <property fmtid="{D5CDD505-2E9C-101B-9397-08002B2CF9AE}" pid="12" name="ICV">
    <vt:lpwstr>E3A91975254F4766A5EE9D0E2FE5D561_13</vt:lpwstr>
  </property>
  <property fmtid="{D5CDD505-2E9C-101B-9397-08002B2CF9AE}" pid="13" name="KSOTemplateDocerSaveRecord">
    <vt:lpwstr>eyJoZGlkIjoiOTY1NGViNTNkYTc2M2Q3OTgyYTcwM2I5ZTU0ZDZkMjciLCJ1c2VySWQiOiIxNjY3MTM0NDc5NTU0In0=</vt:lpwstr>
  </property>
</Properties>
</file>