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35D94" w14:textId="4D7E2BED" w:rsidR="00712EB7" w:rsidRDefault="00712EB7" w:rsidP="00D81D97">
      <w:pPr>
        <w:tabs>
          <w:tab w:val="left" w:pos="720"/>
        </w:tabs>
        <w:spacing w:after="0" w:line="240" w:lineRule="auto"/>
        <w:jc w:val="center"/>
        <w:rPr>
          <w:rFonts w:ascii="Oswald" w:eastAsia="Times New Roman" w:hAnsi="Oswald" w:cs="Times New Roman"/>
          <w:smallCaps/>
          <w:sz w:val="24"/>
          <w:szCs w:val="24"/>
        </w:rPr>
      </w:pPr>
      <w:r>
        <w:rPr>
          <w:noProof/>
        </w:rPr>
        <w:drawing>
          <wp:anchor distT="0" distB="0" distL="114300" distR="114300" simplePos="0" relativeHeight="251658240" behindDoc="0" locked="0" layoutInCell="1" allowOverlap="1" wp14:anchorId="0549BB25" wp14:editId="7BF81DE8">
            <wp:simplePos x="0" y="0"/>
            <wp:positionH relativeFrom="margin">
              <wp:align>center</wp:align>
            </wp:positionH>
            <wp:positionV relativeFrom="paragraph">
              <wp:posOffset>0</wp:posOffset>
            </wp:positionV>
            <wp:extent cx="2286000" cy="1197610"/>
            <wp:effectExtent l="0" t="0" r="0" b="2540"/>
            <wp:wrapTopAndBottom/>
            <wp:docPr id="2" name="Picture 2" descr="Islamic Development Ban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amic Development Bank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9501B2" w14:textId="3AFE111D" w:rsidR="00566FAB" w:rsidRPr="00977B7B" w:rsidRDefault="00566FAB" w:rsidP="00D81D97">
      <w:pPr>
        <w:tabs>
          <w:tab w:val="left" w:pos="720"/>
        </w:tabs>
        <w:spacing w:after="0" w:line="240" w:lineRule="auto"/>
        <w:jc w:val="center"/>
        <w:rPr>
          <w:rFonts w:ascii="Oswald" w:eastAsia="Times New Roman" w:hAnsi="Oswald" w:cs="Times New Roman"/>
          <w:smallCaps/>
          <w:sz w:val="28"/>
          <w:szCs w:val="28"/>
        </w:rPr>
      </w:pPr>
      <w:r w:rsidRPr="00977B7B">
        <w:rPr>
          <w:rFonts w:ascii="Oswald" w:eastAsia="Times New Roman" w:hAnsi="Oswald" w:cs="Times New Roman"/>
          <w:smallCaps/>
          <w:sz w:val="28"/>
          <w:szCs w:val="28"/>
        </w:rPr>
        <w:t>REQUEST FOR EXPRESSION OF INTEREST</w:t>
      </w:r>
    </w:p>
    <w:p w14:paraId="576ECBC0" w14:textId="77777777" w:rsidR="00566FAB" w:rsidRPr="00977B7B" w:rsidRDefault="00566FAB" w:rsidP="00566FAB">
      <w:pPr>
        <w:tabs>
          <w:tab w:val="left" w:pos="720"/>
        </w:tabs>
        <w:spacing w:after="0" w:line="240" w:lineRule="auto"/>
        <w:jc w:val="center"/>
        <w:rPr>
          <w:rFonts w:ascii="Oswald" w:eastAsia="Times New Roman" w:hAnsi="Oswald" w:cs="Times New Roman"/>
          <w:smallCaps/>
          <w:sz w:val="28"/>
          <w:szCs w:val="28"/>
        </w:rPr>
      </w:pPr>
      <w:r w:rsidRPr="00977B7B">
        <w:rPr>
          <w:rFonts w:ascii="Oswald" w:eastAsia="Times New Roman" w:hAnsi="Oswald" w:cs="Times New Roman"/>
          <w:smallCaps/>
          <w:sz w:val="28"/>
          <w:szCs w:val="28"/>
        </w:rPr>
        <w:t>(CONSULTANT SERVICES)</w:t>
      </w:r>
    </w:p>
    <w:p w14:paraId="339ED402" w14:textId="77777777" w:rsidR="006053E6" w:rsidRDefault="006053E6" w:rsidP="006053E6">
      <w:pPr>
        <w:tabs>
          <w:tab w:val="left" w:pos="180"/>
          <w:tab w:val="left" w:pos="270"/>
          <w:tab w:val="left" w:pos="360"/>
          <w:tab w:val="left" w:pos="540"/>
        </w:tabs>
        <w:suppressAutoHyphens/>
        <w:spacing w:before="240" w:after="240" w:line="240" w:lineRule="auto"/>
        <w:jc w:val="center"/>
        <w:rPr>
          <w:rFonts w:ascii="Roboto" w:eastAsia="Calibri" w:hAnsi="Roboto" w:cs="Times New Roman"/>
          <w:spacing w:val="-2"/>
          <w:sz w:val="28"/>
          <w:szCs w:val="28"/>
        </w:rPr>
      </w:pPr>
      <w:bookmarkStart w:id="0" w:name="_Hlk521921777"/>
      <w:r w:rsidRPr="00977B7B">
        <w:rPr>
          <w:rFonts w:ascii="Roboto" w:eastAsia="Calibri" w:hAnsi="Roboto" w:cs="Times New Roman"/>
          <w:spacing w:val="-2"/>
          <w:sz w:val="28"/>
          <w:szCs w:val="28"/>
        </w:rPr>
        <w:t>Islamic Development Bank</w:t>
      </w:r>
    </w:p>
    <w:p w14:paraId="6336817D" w14:textId="77777777" w:rsidR="00977B7B" w:rsidRPr="00977B7B" w:rsidRDefault="00977B7B" w:rsidP="006053E6">
      <w:pPr>
        <w:tabs>
          <w:tab w:val="left" w:pos="180"/>
          <w:tab w:val="left" w:pos="270"/>
          <w:tab w:val="left" w:pos="360"/>
          <w:tab w:val="left" w:pos="540"/>
        </w:tabs>
        <w:suppressAutoHyphens/>
        <w:spacing w:before="240" w:after="240" w:line="240" w:lineRule="auto"/>
        <w:jc w:val="center"/>
        <w:rPr>
          <w:rFonts w:ascii="Roboto" w:eastAsia="Calibri" w:hAnsi="Roboto" w:cs="Times New Roman"/>
          <w:spacing w:val="-2"/>
          <w:sz w:val="28"/>
          <w:szCs w:val="28"/>
        </w:rPr>
      </w:pPr>
      <w:r w:rsidRPr="00977B7B">
        <w:rPr>
          <w:rFonts w:ascii="Roboto" w:eastAsia="Calibri" w:hAnsi="Roboto" w:cs="Times New Roman"/>
          <w:spacing w:val="-2"/>
          <w:sz w:val="28"/>
          <w:szCs w:val="28"/>
        </w:rPr>
        <w:t>Islamic Financial Sector Development Department</w:t>
      </w:r>
    </w:p>
    <w:bookmarkEnd w:id="0"/>
    <w:p w14:paraId="26E824D8" w14:textId="3A1B392F" w:rsidR="00A470E2" w:rsidRPr="0043321A" w:rsidRDefault="00911507" w:rsidP="00977B7B">
      <w:pPr>
        <w:tabs>
          <w:tab w:val="left" w:pos="180"/>
          <w:tab w:val="left" w:pos="270"/>
          <w:tab w:val="left" w:pos="360"/>
          <w:tab w:val="left" w:pos="540"/>
        </w:tabs>
        <w:suppressAutoHyphens/>
        <w:spacing w:before="240" w:after="240" w:line="240" w:lineRule="auto"/>
        <w:jc w:val="center"/>
        <w:rPr>
          <w:rFonts w:ascii="Times New Roman" w:eastAsia="Calibri" w:hAnsi="Times New Roman" w:cs="Times New Roman"/>
          <w:b/>
          <w:bCs/>
          <w:spacing w:val="-2"/>
          <w:sz w:val="24"/>
          <w:szCs w:val="24"/>
        </w:rPr>
      </w:pPr>
      <w:r w:rsidRPr="00911507">
        <w:rPr>
          <w:rFonts w:ascii="Roboto Light" w:eastAsia="Calibri" w:hAnsi="Roboto Light" w:cs="Times New Roman"/>
          <w:spacing w:val="-2"/>
          <w:sz w:val="24"/>
          <w:szCs w:val="24"/>
        </w:rPr>
        <w:t>The Preparation of Islamic Microfinance Toolkit (IMT)</w:t>
      </w:r>
      <w:r w:rsidR="00CD3020">
        <w:rPr>
          <w:rFonts w:ascii="Roboto Light" w:eastAsia="Calibri" w:hAnsi="Roboto Light" w:cs="Times New Roman"/>
          <w:spacing w:val="-2"/>
          <w:sz w:val="24"/>
          <w:szCs w:val="24"/>
        </w:rPr>
        <w:t xml:space="preserve"> and Capacity Building</w:t>
      </w:r>
    </w:p>
    <w:p w14:paraId="32DA420B" w14:textId="7C42E9AC" w:rsidR="00A470E2" w:rsidRPr="009A2139" w:rsidRDefault="00A470E2" w:rsidP="009A2139">
      <w:pPr>
        <w:spacing w:before="120" w:after="240" w:line="240" w:lineRule="auto"/>
        <w:jc w:val="center"/>
        <w:rPr>
          <w:rFonts w:ascii="Roboto" w:eastAsia="Times New Roman" w:hAnsi="Roboto" w:cs="Times New Roman"/>
          <w:sz w:val="24"/>
          <w:szCs w:val="24"/>
        </w:rPr>
      </w:pPr>
      <w:r w:rsidRPr="009A2139">
        <w:rPr>
          <w:rFonts w:ascii="Roboto" w:eastAsia="Times New Roman" w:hAnsi="Roboto" w:cs="Times New Roman"/>
          <w:sz w:val="24"/>
          <w:szCs w:val="24"/>
        </w:rPr>
        <w:t xml:space="preserve">Consultancy Services for </w:t>
      </w:r>
      <w:r w:rsidR="00C05EF5">
        <w:rPr>
          <w:rFonts w:ascii="Roboto" w:eastAsia="Times New Roman" w:hAnsi="Roboto" w:cs="Times New Roman"/>
          <w:sz w:val="24"/>
          <w:szCs w:val="24"/>
        </w:rPr>
        <w:t xml:space="preserve">a </w:t>
      </w:r>
      <w:r w:rsidR="00680839" w:rsidRPr="009A2139">
        <w:rPr>
          <w:rFonts w:ascii="Roboto" w:eastAsia="Times New Roman" w:hAnsi="Roboto" w:cs="Times New Roman"/>
          <w:sz w:val="24"/>
          <w:szCs w:val="24"/>
        </w:rPr>
        <w:t>New Product Development</w:t>
      </w:r>
    </w:p>
    <w:p w14:paraId="08D59DC1" w14:textId="636926BB" w:rsidR="00C05EF5" w:rsidRDefault="00C05EF5" w:rsidP="00E634AE">
      <w:pPr>
        <w:suppressAutoHyphens/>
        <w:spacing w:before="120" w:after="240" w:line="240" w:lineRule="auto"/>
        <w:jc w:val="both"/>
        <w:rPr>
          <w:rFonts w:ascii="Roboto Light" w:eastAsia="Calibri" w:hAnsi="Roboto Light" w:cs="Times New Roman"/>
          <w:spacing w:val="-2"/>
          <w:sz w:val="24"/>
          <w:szCs w:val="24"/>
        </w:rPr>
      </w:pPr>
      <w:r w:rsidRPr="00C05EF5">
        <w:rPr>
          <w:rFonts w:ascii="Roboto Light" w:eastAsia="Calibri" w:hAnsi="Roboto Light" w:cs="Times New Roman"/>
          <w:spacing w:val="-2"/>
          <w:sz w:val="24"/>
          <w:szCs w:val="24"/>
        </w:rPr>
        <w:t>The Islamic Development Bank (IsDB) started a program to develop the Islamic microfinance sector, including building its internal capacity in the operations, appraisal, monitoring, and implementation of microfinance projects and enhance the capacity of IsDB Group partners and beneficiaries in conducting Islamic microfinance.</w:t>
      </w:r>
    </w:p>
    <w:p w14:paraId="53FFBF4E" w14:textId="5C27CC0E" w:rsidR="00C05EF5" w:rsidRDefault="000B208B" w:rsidP="00E634AE">
      <w:pPr>
        <w:suppressAutoHyphens/>
        <w:spacing w:before="120" w:after="240" w:line="240" w:lineRule="auto"/>
        <w:jc w:val="both"/>
        <w:rPr>
          <w:rFonts w:ascii="Roboto Light" w:eastAsia="Calibri" w:hAnsi="Roboto Light" w:cs="Times New Roman"/>
          <w:spacing w:val="-2"/>
          <w:sz w:val="24"/>
          <w:szCs w:val="24"/>
        </w:rPr>
      </w:pPr>
      <w:r w:rsidRPr="000B208B">
        <w:rPr>
          <w:rFonts w:ascii="Roboto Light" w:eastAsia="Calibri" w:hAnsi="Roboto Light" w:cs="Times New Roman"/>
          <w:spacing w:val="-2"/>
          <w:sz w:val="24"/>
          <w:szCs w:val="24"/>
        </w:rPr>
        <w:t>The objective of this assignment is to develop an Islamic Microfinance Toolkit (IMT), building upon the existing work done so far by the IsDB internal team. The IMT will serve as benchmark guidance for conventional microfinance institutions to take the necessary steps to introduce Shari’ah-compliant microfinancing products and/or completely transform their operations into Shari’ah-compliant ones. The toolkits will also provide guidance to the existing Shari’ah-compliant microfinance institutions in order to enhance their current product ranges while improving efficiency as well as compliance with ethical and Shari’ah standards. The IMT should also provide a focus on consumer empowerment with a view to achieving financial inclusion objectives i.e., women empowerment, youth empowerment, etc.</w:t>
      </w:r>
    </w:p>
    <w:p w14:paraId="63D31EE1" w14:textId="18550F7F" w:rsidR="00C2507F" w:rsidRPr="009A2139" w:rsidRDefault="00E14DC0" w:rsidP="00E634AE">
      <w:pPr>
        <w:suppressAutoHyphens/>
        <w:spacing w:before="120" w:after="240" w:line="240" w:lineRule="auto"/>
        <w:jc w:val="both"/>
        <w:rPr>
          <w:rFonts w:ascii="Roboto Light" w:eastAsia="Calibri" w:hAnsi="Roboto Light" w:cs="Times New Roman"/>
          <w:spacing w:val="-2"/>
          <w:sz w:val="24"/>
          <w:szCs w:val="24"/>
        </w:rPr>
      </w:pPr>
      <w:r w:rsidRPr="00C05EF5">
        <w:rPr>
          <w:rFonts w:ascii="Roboto Light" w:eastAsia="Calibri" w:hAnsi="Roboto Light" w:cs="Times New Roman"/>
          <w:spacing w:val="-2"/>
          <w:sz w:val="24"/>
          <w:szCs w:val="24"/>
        </w:rPr>
        <w:t>IsDB</w:t>
      </w:r>
      <w:r w:rsidRPr="009A2139">
        <w:rPr>
          <w:rFonts w:ascii="Roboto Light" w:eastAsia="Calibri" w:hAnsi="Roboto Light" w:cs="Times New Roman"/>
          <w:spacing w:val="-2"/>
          <w:sz w:val="24"/>
          <w:szCs w:val="24"/>
        </w:rPr>
        <w:t xml:space="preserve"> </w:t>
      </w:r>
      <w:r w:rsidR="00C2507F" w:rsidRPr="009A2139">
        <w:rPr>
          <w:rFonts w:ascii="Roboto Light" w:eastAsia="Calibri" w:hAnsi="Roboto Light" w:cs="Times New Roman"/>
          <w:spacing w:val="-2"/>
          <w:sz w:val="24"/>
          <w:szCs w:val="24"/>
        </w:rPr>
        <w:t xml:space="preserve">now invites eligible consultants to indicate their interest in providing the </w:t>
      </w:r>
      <w:proofErr w:type="gramStart"/>
      <w:r w:rsidR="007813C6">
        <w:rPr>
          <w:rFonts w:ascii="Roboto Light" w:eastAsia="Calibri" w:hAnsi="Roboto Light" w:cs="Times New Roman"/>
          <w:spacing w:val="-2"/>
          <w:sz w:val="24"/>
          <w:szCs w:val="24"/>
        </w:rPr>
        <w:t xml:space="preserve">aforementioned </w:t>
      </w:r>
      <w:r w:rsidR="00C2507F" w:rsidRPr="009A2139">
        <w:rPr>
          <w:rFonts w:ascii="Roboto Light" w:eastAsia="Calibri" w:hAnsi="Roboto Light" w:cs="Times New Roman"/>
          <w:spacing w:val="-2"/>
          <w:sz w:val="24"/>
          <w:szCs w:val="24"/>
        </w:rPr>
        <w:t>services</w:t>
      </w:r>
      <w:proofErr w:type="gramEnd"/>
      <w:r w:rsidR="00C2507F" w:rsidRPr="009A2139">
        <w:rPr>
          <w:rFonts w:ascii="Roboto Light" w:eastAsia="Calibri" w:hAnsi="Roboto Light" w:cs="Times New Roman"/>
          <w:spacing w:val="-2"/>
          <w:sz w:val="24"/>
          <w:szCs w:val="24"/>
        </w:rPr>
        <w:t>. Interested consultants must provide specific information which demonstrate that they are fully qualified to perform the</w:t>
      </w:r>
      <w:r w:rsidR="007813C6">
        <w:rPr>
          <w:rFonts w:ascii="Roboto Light" w:eastAsia="Calibri" w:hAnsi="Roboto Light" w:cs="Times New Roman"/>
          <w:spacing w:val="-2"/>
          <w:sz w:val="24"/>
          <w:szCs w:val="24"/>
        </w:rPr>
        <w:t>se</w:t>
      </w:r>
      <w:r w:rsidR="00C2507F" w:rsidRPr="009A2139">
        <w:rPr>
          <w:rFonts w:ascii="Roboto Light" w:eastAsia="Calibri" w:hAnsi="Roboto Light" w:cs="Times New Roman"/>
          <w:spacing w:val="-2"/>
          <w:sz w:val="24"/>
          <w:szCs w:val="24"/>
        </w:rPr>
        <w:t xml:space="preserve"> services (brochures, description of similar assignments, experience in similar conditions, availability of appropriate skills among staff, etc.). Experience in the following area or tasks shall be the minimum requirement for the assignment: </w:t>
      </w:r>
    </w:p>
    <w:p w14:paraId="6F76CFF5" w14:textId="358474F2" w:rsidR="0045290F" w:rsidRDefault="000A27E4" w:rsidP="00E634AE">
      <w:pPr>
        <w:pStyle w:val="ListParagraph"/>
        <w:numPr>
          <w:ilvl w:val="0"/>
          <w:numId w:val="3"/>
        </w:numPr>
        <w:spacing w:before="120" w:after="120" w:line="240" w:lineRule="auto"/>
        <w:contextualSpacing w:val="0"/>
        <w:jc w:val="both"/>
        <w:rPr>
          <w:rFonts w:ascii="Roboto Light" w:eastAsia="Calibri" w:hAnsi="Roboto Light" w:cs="Times New Roman"/>
          <w:spacing w:val="-2"/>
          <w:sz w:val="24"/>
          <w:szCs w:val="24"/>
        </w:rPr>
      </w:pPr>
      <w:r w:rsidRPr="009A2139">
        <w:rPr>
          <w:rFonts w:ascii="Roboto Light" w:eastAsia="Calibri" w:hAnsi="Roboto Light" w:cs="Times New Roman"/>
          <w:spacing w:val="-2"/>
          <w:sz w:val="24"/>
          <w:szCs w:val="24"/>
        </w:rPr>
        <w:lastRenderedPageBreak/>
        <w:t xml:space="preserve">Development of </w:t>
      </w:r>
      <w:r w:rsidR="00CD3020">
        <w:rPr>
          <w:rFonts w:ascii="Roboto Light" w:eastAsia="Calibri" w:hAnsi="Roboto Light" w:cs="Times New Roman"/>
          <w:spacing w:val="-2"/>
          <w:sz w:val="24"/>
          <w:szCs w:val="24"/>
        </w:rPr>
        <w:t xml:space="preserve">the following </w:t>
      </w:r>
      <w:r w:rsidR="00E16DC2">
        <w:rPr>
          <w:rFonts w:ascii="Roboto Light" w:eastAsia="Calibri" w:hAnsi="Roboto Light" w:cs="Times New Roman"/>
          <w:spacing w:val="-2"/>
          <w:sz w:val="24"/>
          <w:szCs w:val="24"/>
        </w:rPr>
        <w:t xml:space="preserve">books: </w:t>
      </w:r>
    </w:p>
    <w:p w14:paraId="35874281" w14:textId="359F0F18" w:rsidR="00E16DC2" w:rsidRDefault="00E16DC2" w:rsidP="00E634AE">
      <w:pPr>
        <w:pStyle w:val="ListParagraph"/>
        <w:numPr>
          <w:ilvl w:val="0"/>
          <w:numId w:val="3"/>
        </w:numPr>
        <w:spacing w:before="120" w:after="120" w:line="240" w:lineRule="auto"/>
        <w:contextualSpacing w:val="0"/>
        <w:jc w:val="both"/>
        <w:rPr>
          <w:rFonts w:ascii="Roboto Light" w:eastAsia="Calibri" w:hAnsi="Roboto Light" w:cs="Times New Roman"/>
          <w:spacing w:val="-2"/>
          <w:sz w:val="24"/>
          <w:szCs w:val="24"/>
        </w:rPr>
      </w:pPr>
      <w:r w:rsidRPr="00E16DC2">
        <w:rPr>
          <w:rFonts w:ascii="Roboto Light" w:eastAsia="Calibri" w:hAnsi="Roboto Light" w:cs="Times New Roman"/>
          <w:spacing w:val="-2"/>
          <w:sz w:val="24"/>
          <w:szCs w:val="24"/>
        </w:rPr>
        <w:t>The deliverable under this component is the IMT which is expected to comprise five books as follows:</w:t>
      </w:r>
    </w:p>
    <w:p w14:paraId="3212EA34" w14:textId="5CA29597" w:rsidR="00E16DC2" w:rsidRDefault="00E16DC2" w:rsidP="00E634AE">
      <w:pPr>
        <w:pStyle w:val="ListParagraph"/>
        <w:numPr>
          <w:ilvl w:val="1"/>
          <w:numId w:val="3"/>
        </w:numPr>
        <w:spacing w:before="120" w:after="120" w:line="240" w:lineRule="auto"/>
        <w:contextualSpacing w:val="0"/>
        <w:jc w:val="both"/>
        <w:rPr>
          <w:rFonts w:ascii="Roboto Light" w:eastAsia="Calibri" w:hAnsi="Roboto Light" w:cs="Times New Roman"/>
          <w:spacing w:val="-2"/>
          <w:sz w:val="24"/>
          <w:szCs w:val="24"/>
        </w:rPr>
      </w:pPr>
      <w:r w:rsidRPr="00E16DC2">
        <w:rPr>
          <w:rFonts w:ascii="Roboto Light" w:eastAsia="Calibri" w:hAnsi="Roboto Light" w:cs="Times New Roman"/>
          <w:spacing w:val="-2"/>
          <w:sz w:val="24"/>
          <w:szCs w:val="24"/>
        </w:rPr>
        <w:t>Book 1 – Islamic Microfinance</w:t>
      </w:r>
    </w:p>
    <w:p w14:paraId="6451AE33" w14:textId="358596FB" w:rsidR="00E16DC2" w:rsidRDefault="00E16DC2" w:rsidP="00E634AE">
      <w:pPr>
        <w:pStyle w:val="ListParagraph"/>
        <w:numPr>
          <w:ilvl w:val="1"/>
          <w:numId w:val="3"/>
        </w:numPr>
        <w:spacing w:before="120" w:after="120" w:line="240" w:lineRule="auto"/>
        <w:contextualSpacing w:val="0"/>
        <w:jc w:val="both"/>
        <w:rPr>
          <w:rFonts w:ascii="Roboto Light" w:eastAsia="Calibri" w:hAnsi="Roboto Light" w:cs="Times New Roman"/>
          <w:spacing w:val="-2"/>
          <w:sz w:val="24"/>
          <w:szCs w:val="24"/>
        </w:rPr>
      </w:pPr>
      <w:r w:rsidRPr="00E16DC2">
        <w:rPr>
          <w:rFonts w:ascii="Roboto Light" w:eastAsia="Calibri" w:hAnsi="Roboto Light" w:cs="Times New Roman"/>
          <w:spacing w:val="-2"/>
          <w:sz w:val="24"/>
          <w:szCs w:val="24"/>
        </w:rPr>
        <w:t>Book 2 – Setting up a new Islamic Microfinance Company</w:t>
      </w:r>
    </w:p>
    <w:p w14:paraId="60FDE85C" w14:textId="71F56099" w:rsidR="00E16DC2" w:rsidRDefault="00E16DC2" w:rsidP="00E634AE">
      <w:pPr>
        <w:pStyle w:val="ListParagraph"/>
        <w:numPr>
          <w:ilvl w:val="1"/>
          <w:numId w:val="3"/>
        </w:numPr>
        <w:spacing w:before="120" w:after="120" w:line="240" w:lineRule="auto"/>
        <w:contextualSpacing w:val="0"/>
        <w:jc w:val="both"/>
        <w:rPr>
          <w:rFonts w:ascii="Roboto Light" w:eastAsia="Calibri" w:hAnsi="Roboto Light" w:cs="Times New Roman"/>
          <w:spacing w:val="-2"/>
          <w:sz w:val="24"/>
          <w:szCs w:val="24"/>
        </w:rPr>
      </w:pPr>
      <w:r w:rsidRPr="00E16DC2">
        <w:rPr>
          <w:rFonts w:ascii="Roboto Light" w:eastAsia="Calibri" w:hAnsi="Roboto Light" w:cs="Times New Roman"/>
          <w:spacing w:val="-2"/>
          <w:sz w:val="24"/>
          <w:szCs w:val="24"/>
        </w:rPr>
        <w:t>Book 3 – Value Chain for Islamic Microfinance</w:t>
      </w:r>
    </w:p>
    <w:p w14:paraId="6D87B9A0" w14:textId="61594271" w:rsidR="00E16DC2" w:rsidRDefault="00E16DC2" w:rsidP="00E634AE">
      <w:pPr>
        <w:pStyle w:val="ListParagraph"/>
        <w:numPr>
          <w:ilvl w:val="1"/>
          <w:numId w:val="3"/>
        </w:numPr>
        <w:spacing w:before="120" w:after="120" w:line="240" w:lineRule="auto"/>
        <w:contextualSpacing w:val="0"/>
        <w:jc w:val="both"/>
        <w:rPr>
          <w:rFonts w:ascii="Roboto Light" w:eastAsia="Calibri" w:hAnsi="Roboto Light" w:cs="Times New Roman"/>
          <w:spacing w:val="-2"/>
          <w:sz w:val="24"/>
          <w:szCs w:val="24"/>
        </w:rPr>
      </w:pPr>
      <w:r w:rsidRPr="00E16DC2">
        <w:rPr>
          <w:rFonts w:ascii="Roboto Light" w:eastAsia="Calibri" w:hAnsi="Roboto Light" w:cs="Times New Roman"/>
          <w:spacing w:val="-2"/>
          <w:sz w:val="24"/>
          <w:szCs w:val="24"/>
        </w:rPr>
        <w:t>Book 4 – Monitoring and Evaluation of Islamic Microfinance Institutions</w:t>
      </w:r>
    </w:p>
    <w:p w14:paraId="3856C92F" w14:textId="0923B824" w:rsidR="00E16DC2" w:rsidRDefault="00E16DC2" w:rsidP="00E634AE">
      <w:pPr>
        <w:pStyle w:val="ListParagraph"/>
        <w:numPr>
          <w:ilvl w:val="1"/>
          <w:numId w:val="3"/>
        </w:numPr>
        <w:spacing w:before="120" w:after="120" w:line="240" w:lineRule="auto"/>
        <w:contextualSpacing w:val="0"/>
        <w:jc w:val="both"/>
        <w:rPr>
          <w:rFonts w:ascii="Roboto Light" w:eastAsia="Calibri" w:hAnsi="Roboto Light" w:cs="Times New Roman"/>
          <w:spacing w:val="-2"/>
          <w:sz w:val="24"/>
          <w:szCs w:val="24"/>
        </w:rPr>
      </w:pPr>
      <w:r w:rsidRPr="00E16DC2">
        <w:rPr>
          <w:rFonts w:ascii="Roboto Light" w:eastAsia="Calibri" w:hAnsi="Roboto Light" w:cs="Times New Roman"/>
          <w:spacing w:val="-2"/>
          <w:sz w:val="24"/>
          <w:szCs w:val="24"/>
        </w:rPr>
        <w:t>Book 5 - Islamic Microfinance Model Regulations and Supervisory Guidelines</w:t>
      </w:r>
    </w:p>
    <w:p w14:paraId="4B067360" w14:textId="249B582F" w:rsidR="004F4E7D" w:rsidRPr="00773502" w:rsidRDefault="007F62B0" w:rsidP="00773502">
      <w:pPr>
        <w:pStyle w:val="ListParagraph"/>
        <w:numPr>
          <w:ilvl w:val="0"/>
          <w:numId w:val="3"/>
        </w:numPr>
        <w:spacing w:before="120" w:after="120" w:line="240" w:lineRule="auto"/>
        <w:contextualSpacing w:val="0"/>
        <w:jc w:val="both"/>
        <w:rPr>
          <w:rFonts w:ascii="Roboto Light" w:eastAsia="Calibri" w:hAnsi="Roboto Light" w:cs="Times New Roman"/>
          <w:spacing w:val="-2"/>
          <w:sz w:val="24"/>
          <w:szCs w:val="24"/>
        </w:rPr>
      </w:pPr>
      <w:r w:rsidRPr="007F62B0">
        <w:rPr>
          <w:rFonts w:ascii="Roboto Light" w:eastAsia="Calibri" w:hAnsi="Roboto Light" w:cs="Times New Roman"/>
          <w:spacing w:val="-2"/>
          <w:sz w:val="24"/>
          <w:szCs w:val="24"/>
        </w:rPr>
        <w:t>Capacity Building and Training Materials on the IMT which will be used to conduct training workshops.</w:t>
      </w:r>
      <w:r>
        <w:rPr>
          <w:rFonts w:ascii="Roboto Light" w:eastAsia="Calibri" w:hAnsi="Roboto Light" w:cs="Times New Roman"/>
          <w:spacing w:val="-2"/>
          <w:sz w:val="24"/>
          <w:szCs w:val="24"/>
        </w:rPr>
        <w:t xml:space="preserve"> </w:t>
      </w:r>
    </w:p>
    <w:p w14:paraId="6D44CDDF" w14:textId="4C41855C" w:rsidR="004F4E7D" w:rsidRPr="00182593" w:rsidRDefault="004F4E7D" w:rsidP="00773502">
      <w:pPr>
        <w:pStyle w:val="ListParagraph"/>
        <w:numPr>
          <w:ilvl w:val="0"/>
          <w:numId w:val="3"/>
        </w:numPr>
        <w:spacing w:before="120" w:after="120" w:line="240" w:lineRule="auto"/>
        <w:contextualSpacing w:val="0"/>
        <w:jc w:val="both"/>
        <w:rPr>
          <w:rFonts w:ascii="Roboto Light" w:eastAsia="Calibri" w:hAnsi="Roboto Light" w:cs="Times New Roman"/>
          <w:spacing w:val="-2"/>
          <w:sz w:val="24"/>
          <w:szCs w:val="24"/>
        </w:rPr>
      </w:pPr>
      <w:r w:rsidRPr="00182593">
        <w:rPr>
          <w:rFonts w:ascii="Roboto Light" w:eastAsia="Calibri" w:hAnsi="Roboto Light" w:cs="Times New Roman"/>
          <w:spacing w:val="-2"/>
          <w:sz w:val="24"/>
          <w:szCs w:val="24"/>
        </w:rPr>
        <w:t xml:space="preserve">The shortlisting criteria are: </w:t>
      </w:r>
      <w:r w:rsidR="00ED060E" w:rsidRPr="00182593">
        <w:rPr>
          <w:rFonts w:ascii="Roboto Light" w:eastAsia="Calibri" w:hAnsi="Roboto Light" w:cs="Times New Roman"/>
          <w:spacing w:val="-2"/>
          <w:sz w:val="24"/>
          <w:szCs w:val="24"/>
        </w:rPr>
        <w:t>The Consulting Firm will be procured through the Quality- and Cost-based Selection (QCBS) method</w:t>
      </w:r>
      <w:r w:rsidRPr="00182593">
        <w:rPr>
          <w:rFonts w:ascii="Roboto Light" w:eastAsia="Calibri" w:hAnsi="Roboto Light" w:cs="Times New Roman"/>
          <w:spacing w:val="-2"/>
          <w:sz w:val="24"/>
          <w:szCs w:val="24"/>
        </w:rPr>
        <w:t>. Key Experts will not be evaluated at the shortlisting stage</w:t>
      </w:r>
      <w:r w:rsidR="0071093E" w:rsidRPr="00182593">
        <w:rPr>
          <w:rFonts w:ascii="Roboto Light" w:eastAsia="Calibri" w:hAnsi="Roboto Light" w:cs="Times New Roman"/>
          <w:spacing w:val="-2"/>
          <w:sz w:val="24"/>
          <w:szCs w:val="24"/>
        </w:rPr>
        <w:t>.</w:t>
      </w:r>
    </w:p>
    <w:p w14:paraId="039ADA54" w14:textId="77777777" w:rsidR="004F4E7D" w:rsidRPr="00182593" w:rsidRDefault="004F4E7D" w:rsidP="00773502">
      <w:pPr>
        <w:suppressAutoHyphens/>
        <w:spacing w:before="120" w:after="240" w:line="240" w:lineRule="auto"/>
        <w:jc w:val="both"/>
        <w:rPr>
          <w:rFonts w:ascii="Roboto Light" w:eastAsia="Calibri" w:hAnsi="Roboto Light" w:cs="Times New Roman"/>
          <w:spacing w:val="-2"/>
          <w:sz w:val="24"/>
          <w:szCs w:val="24"/>
        </w:rPr>
      </w:pPr>
      <w:r w:rsidRPr="00182593">
        <w:rPr>
          <w:rFonts w:ascii="Roboto Light" w:eastAsia="Calibri" w:hAnsi="Roboto Light" w:cs="Times New Roman"/>
          <w:spacing w:val="-2"/>
          <w:sz w:val="24"/>
          <w:szCs w:val="24"/>
        </w:rPr>
        <w:t xml:space="preserve">The attention of interested Consultants is drawn to Paragraphs, 1.23, and 1.24 of the Guidelines for Procurement of Consultant Services under Islamic Development Bank Project Financing (the “Procurement Guidelines”), setting forth IsDB’s policy on conflict of interest.  </w:t>
      </w:r>
    </w:p>
    <w:p w14:paraId="52C0B7CD" w14:textId="40520BB1" w:rsidR="004F4E7D" w:rsidRPr="00182593" w:rsidRDefault="004F4E7D" w:rsidP="00773502">
      <w:pPr>
        <w:suppressAutoHyphens/>
        <w:spacing w:before="120" w:after="240" w:line="240" w:lineRule="auto"/>
        <w:jc w:val="both"/>
        <w:rPr>
          <w:rFonts w:ascii="Roboto Light" w:eastAsia="Calibri" w:hAnsi="Roboto Light" w:cs="Times New Roman"/>
          <w:spacing w:val="-2"/>
          <w:sz w:val="24"/>
          <w:szCs w:val="24"/>
        </w:rPr>
      </w:pPr>
      <w:r w:rsidRPr="00182593">
        <w:rPr>
          <w:rFonts w:ascii="Roboto Light" w:eastAsia="Calibri" w:hAnsi="Roboto Light" w:cs="Times New Roman"/>
          <w:spacing w:val="-2"/>
          <w:sz w:val="24"/>
          <w:szCs w:val="24"/>
        </w:rPr>
        <w:t xml:space="preserve">Consultants may associate with other firms to enhance their </w:t>
      </w:r>
      <w:r w:rsidR="0071093E" w:rsidRPr="00182593">
        <w:rPr>
          <w:rFonts w:ascii="Roboto Light" w:eastAsia="Calibri" w:hAnsi="Roboto Light" w:cs="Times New Roman"/>
          <w:spacing w:val="-2"/>
          <w:sz w:val="24"/>
          <w:szCs w:val="24"/>
        </w:rPr>
        <w:t>qualifications but</w:t>
      </w:r>
      <w:r w:rsidRPr="00182593">
        <w:rPr>
          <w:rFonts w:ascii="Roboto Light" w:eastAsia="Calibri" w:hAnsi="Roboto Light" w:cs="Times New Roman"/>
          <w:spacing w:val="-2"/>
          <w:sz w:val="24"/>
          <w:szCs w:val="24"/>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p>
    <w:p w14:paraId="68CB6DAC" w14:textId="416E5224" w:rsidR="004F4E7D" w:rsidRPr="00182593" w:rsidRDefault="0018336F" w:rsidP="00773502">
      <w:pPr>
        <w:suppressAutoHyphens/>
        <w:spacing w:before="120" w:after="240" w:line="240" w:lineRule="auto"/>
        <w:jc w:val="both"/>
        <w:rPr>
          <w:rFonts w:ascii="Roboto Light" w:eastAsia="Calibri" w:hAnsi="Roboto Light" w:cs="Times New Roman"/>
          <w:spacing w:val="-2"/>
          <w:sz w:val="24"/>
          <w:szCs w:val="24"/>
        </w:rPr>
      </w:pPr>
      <w:r w:rsidRPr="00182593">
        <w:rPr>
          <w:rFonts w:ascii="Roboto Light" w:eastAsia="Calibri" w:hAnsi="Roboto Light" w:cs="Times New Roman"/>
          <w:spacing w:val="-2"/>
          <w:sz w:val="24"/>
          <w:szCs w:val="24"/>
        </w:rPr>
        <w:t xml:space="preserve">Consultants </w:t>
      </w:r>
      <w:r w:rsidR="004F4E7D" w:rsidRPr="00182593">
        <w:rPr>
          <w:rFonts w:ascii="Roboto Light" w:eastAsia="Calibri" w:hAnsi="Roboto Light" w:cs="Times New Roman"/>
          <w:spacing w:val="-2"/>
          <w:sz w:val="24"/>
          <w:szCs w:val="24"/>
        </w:rPr>
        <w:t xml:space="preserve">will be selected in accordance with the </w:t>
      </w:r>
      <w:r w:rsidRPr="00182593">
        <w:rPr>
          <w:rFonts w:ascii="Roboto Light" w:eastAsia="Calibri" w:hAnsi="Roboto Light" w:cs="Times New Roman"/>
          <w:spacing w:val="-2"/>
          <w:sz w:val="24"/>
          <w:szCs w:val="24"/>
        </w:rPr>
        <w:t xml:space="preserve">QCBS </w:t>
      </w:r>
      <w:r w:rsidR="004F4E7D" w:rsidRPr="00182593">
        <w:rPr>
          <w:rFonts w:ascii="Roboto Light" w:eastAsia="Calibri" w:hAnsi="Roboto Light" w:cs="Times New Roman"/>
          <w:spacing w:val="-2"/>
          <w:sz w:val="24"/>
          <w:szCs w:val="24"/>
        </w:rPr>
        <w:t>method set out in the Procurement Guidelines</w:t>
      </w:r>
    </w:p>
    <w:p w14:paraId="6BB38F6A" w14:textId="18D85D35" w:rsidR="00C2507F" w:rsidRPr="007F62B0" w:rsidRDefault="00D230A3" w:rsidP="007F62B0">
      <w:pPr>
        <w:spacing w:after="0" w:line="240" w:lineRule="auto"/>
        <w:jc w:val="both"/>
        <w:rPr>
          <w:rFonts w:ascii="Roboto Light" w:eastAsia="Calibri" w:hAnsi="Roboto Light" w:cs="Times New Roman"/>
          <w:spacing w:val="-2"/>
          <w:sz w:val="24"/>
          <w:szCs w:val="24"/>
        </w:rPr>
      </w:pPr>
      <w:r w:rsidRPr="007F62B0">
        <w:rPr>
          <w:rFonts w:ascii="Roboto Light" w:eastAsia="Calibri" w:hAnsi="Roboto Light" w:cs="Times New Roman"/>
          <w:spacing w:val="-2"/>
          <w:sz w:val="24"/>
          <w:szCs w:val="24"/>
        </w:rPr>
        <w:t>Consultants may express interests in the forms of association, validated by an agreement among members of the association which clearly specifies the type of association, i.e. a joint-venture, intermediate forms of association, or sub consultancy.</w:t>
      </w:r>
      <w:r w:rsidR="0015220C" w:rsidRPr="007F62B0">
        <w:rPr>
          <w:rFonts w:ascii="Roboto Light" w:eastAsia="Calibri" w:hAnsi="Roboto Light" w:cs="Times New Roman"/>
          <w:spacing w:val="-2"/>
          <w:sz w:val="24"/>
          <w:szCs w:val="24"/>
        </w:rPr>
        <w:t xml:space="preserve"> </w:t>
      </w:r>
    </w:p>
    <w:p w14:paraId="6291CBAB" w14:textId="42E19133" w:rsidR="0015220C" w:rsidRPr="009A2139" w:rsidRDefault="0015220C" w:rsidP="009A2139">
      <w:pPr>
        <w:spacing w:before="240" w:after="120" w:line="240" w:lineRule="auto"/>
        <w:jc w:val="both"/>
        <w:rPr>
          <w:rFonts w:ascii="Roboto Light" w:eastAsia="Calibri" w:hAnsi="Roboto Light" w:cs="Times New Roman"/>
          <w:spacing w:val="-2"/>
          <w:sz w:val="24"/>
          <w:szCs w:val="24"/>
        </w:rPr>
      </w:pPr>
      <w:r w:rsidRPr="0015220C">
        <w:rPr>
          <w:rFonts w:ascii="Roboto Light" w:eastAsia="Calibri" w:hAnsi="Roboto Light" w:cs="Times New Roman"/>
          <w:spacing w:val="-2"/>
          <w:sz w:val="24"/>
          <w:szCs w:val="24"/>
        </w:rPr>
        <w:t xml:space="preserve">A consultant will be selected in accordance with the procedures set out in </w:t>
      </w:r>
      <w:r w:rsidRPr="009A2139">
        <w:rPr>
          <w:rFonts w:ascii="Roboto Light" w:eastAsia="Calibri" w:hAnsi="Roboto Light" w:cs="Times New Roman"/>
          <w:spacing w:val="-2"/>
          <w:sz w:val="24"/>
          <w:szCs w:val="24"/>
          <w:u w:val="single"/>
        </w:rPr>
        <w:t>the</w:t>
      </w:r>
      <w:r w:rsidR="005E4620" w:rsidRPr="009A2139">
        <w:rPr>
          <w:rFonts w:ascii="Roboto Light" w:eastAsia="Calibri" w:hAnsi="Roboto Light" w:cs="Times New Roman"/>
          <w:spacing w:val="-2"/>
          <w:sz w:val="24"/>
          <w:szCs w:val="24"/>
          <w:u w:val="single"/>
        </w:rPr>
        <w:t xml:space="preserve"> </w:t>
      </w:r>
      <w:r w:rsidRPr="009A2139">
        <w:rPr>
          <w:rFonts w:ascii="Roboto Light" w:eastAsia="Calibri" w:hAnsi="Roboto Light" w:cs="Times New Roman"/>
          <w:spacing w:val="-2"/>
          <w:sz w:val="24"/>
          <w:szCs w:val="24"/>
          <w:u w:val="single"/>
        </w:rPr>
        <w:t>Guidelines for the Use of Consultants under Islamic Development Bank Financing</w:t>
      </w:r>
      <w:r w:rsidR="005E4620">
        <w:rPr>
          <w:rFonts w:ascii="Roboto Light" w:eastAsia="Calibri" w:hAnsi="Roboto Light" w:cs="Times New Roman"/>
          <w:spacing w:val="-2"/>
          <w:sz w:val="24"/>
          <w:szCs w:val="24"/>
        </w:rPr>
        <w:t xml:space="preserve"> </w:t>
      </w:r>
      <w:r w:rsidRPr="0015220C">
        <w:rPr>
          <w:rFonts w:ascii="Roboto Light" w:eastAsia="Calibri" w:hAnsi="Roboto Light" w:cs="Times New Roman"/>
          <w:spacing w:val="-2"/>
          <w:sz w:val="24"/>
          <w:szCs w:val="24"/>
        </w:rPr>
        <w:t>(</w:t>
      </w:r>
      <w:r w:rsidR="00055B37">
        <w:rPr>
          <w:rFonts w:ascii="Roboto Light" w:eastAsia="Calibri" w:hAnsi="Roboto Light" w:cs="Times New Roman"/>
          <w:spacing w:val="-2"/>
          <w:sz w:val="24"/>
          <w:szCs w:val="24"/>
        </w:rPr>
        <w:t xml:space="preserve">attached, </w:t>
      </w:r>
      <w:r w:rsidRPr="0015220C">
        <w:rPr>
          <w:rFonts w:ascii="Roboto Light" w:eastAsia="Calibri" w:hAnsi="Roboto Light" w:cs="Times New Roman"/>
          <w:spacing w:val="-2"/>
          <w:sz w:val="24"/>
          <w:szCs w:val="24"/>
        </w:rPr>
        <w:t>current edition).</w:t>
      </w:r>
    </w:p>
    <w:p w14:paraId="0E3F4A32" w14:textId="31336F47" w:rsidR="00566FAB" w:rsidRPr="009A2139" w:rsidRDefault="005E4620" w:rsidP="004F0D52">
      <w:pPr>
        <w:spacing w:before="240" w:after="120" w:line="240" w:lineRule="auto"/>
        <w:jc w:val="both"/>
        <w:rPr>
          <w:rFonts w:ascii="Roboto Light" w:eastAsia="Calibri" w:hAnsi="Roboto Light" w:cs="Times New Roman"/>
          <w:spacing w:val="-2"/>
          <w:sz w:val="24"/>
          <w:szCs w:val="24"/>
        </w:rPr>
      </w:pPr>
      <w:r w:rsidRPr="009A2139">
        <w:rPr>
          <w:rFonts w:ascii="Roboto Light" w:eastAsia="Calibri" w:hAnsi="Roboto Light" w:cs="Times New Roman"/>
          <w:spacing w:val="-2"/>
          <w:sz w:val="24"/>
          <w:szCs w:val="24"/>
        </w:rPr>
        <w:t xml:space="preserve">Interested consultants may obtain further information at the </w:t>
      </w:r>
      <w:r w:rsidR="00E634AE">
        <w:rPr>
          <w:rFonts w:ascii="Roboto Light" w:eastAsia="Calibri" w:hAnsi="Roboto Light" w:cs="Times New Roman"/>
          <w:spacing w:val="-2"/>
          <w:sz w:val="24"/>
          <w:szCs w:val="24"/>
        </w:rPr>
        <w:t>emails</w:t>
      </w:r>
      <w:r w:rsidRPr="009A2139">
        <w:rPr>
          <w:rFonts w:ascii="Roboto Light" w:eastAsia="Calibri" w:hAnsi="Roboto Light" w:cs="Times New Roman"/>
          <w:spacing w:val="-2"/>
          <w:sz w:val="24"/>
          <w:szCs w:val="24"/>
        </w:rPr>
        <w:t xml:space="preserve"> below </w:t>
      </w:r>
      <w:r w:rsidR="00E634AE">
        <w:rPr>
          <w:rFonts w:ascii="Roboto Light" w:eastAsia="Calibri" w:hAnsi="Roboto Light" w:cs="Times New Roman"/>
          <w:spacing w:val="-2"/>
          <w:sz w:val="24"/>
          <w:szCs w:val="24"/>
        </w:rPr>
        <w:t>until the due date</w:t>
      </w:r>
      <w:r w:rsidRPr="000A27E4">
        <w:rPr>
          <w:rFonts w:ascii="Roboto Light" w:eastAsia="Calibri" w:hAnsi="Roboto Light" w:cs="Times New Roman"/>
          <w:spacing w:val="-2"/>
          <w:sz w:val="24"/>
          <w:szCs w:val="24"/>
        </w:rPr>
        <w:t>.</w:t>
      </w:r>
      <w:r w:rsidRPr="009A2139" w:rsidDel="005E4620">
        <w:rPr>
          <w:rFonts w:ascii="Roboto Light" w:eastAsia="Calibri" w:hAnsi="Roboto Light" w:cs="Times New Roman"/>
          <w:spacing w:val="-2"/>
          <w:sz w:val="24"/>
          <w:szCs w:val="24"/>
        </w:rPr>
        <w:t xml:space="preserve"> </w:t>
      </w:r>
    </w:p>
    <w:p w14:paraId="2D0E294C" w14:textId="0A7BD907" w:rsidR="005E4620" w:rsidRDefault="005E4620" w:rsidP="004F0D52">
      <w:pPr>
        <w:spacing w:before="120" w:after="120" w:line="240" w:lineRule="auto"/>
        <w:rPr>
          <w:rFonts w:ascii="Roboto Light" w:eastAsia="Calibri" w:hAnsi="Roboto Light" w:cs="Times New Roman"/>
          <w:spacing w:val="-2"/>
          <w:sz w:val="24"/>
          <w:szCs w:val="24"/>
        </w:rPr>
      </w:pPr>
      <w:r w:rsidRPr="005E4620">
        <w:rPr>
          <w:rFonts w:ascii="Roboto Light" w:eastAsia="Calibri" w:hAnsi="Roboto Light" w:cs="Times New Roman"/>
          <w:spacing w:val="-2"/>
          <w:sz w:val="24"/>
          <w:szCs w:val="24"/>
        </w:rPr>
        <w:t>Expressions of interest must be delivered to the address</w:t>
      </w:r>
      <w:r w:rsidR="00733D59">
        <w:rPr>
          <w:rFonts w:ascii="Roboto Light" w:eastAsia="Calibri" w:hAnsi="Roboto Light" w:cs="Times New Roman"/>
          <w:spacing w:val="-2"/>
          <w:sz w:val="24"/>
          <w:szCs w:val="24"/>
        </w:rPr>
        <w:t xml:space="preserve"> (or email addresses)</w:t>
      </w:r>
      <w:r w:rsidRPr="005E4620">
        <w:rPr>
          <w:rFonts w:ascii="Roboto Light" w:eastAsia="Calibri" w:hAnsi="Roboto Light" w:cs="Times New Roman"/>
          <w:spacing w:val="-2"/>
          <w:sz w:val="24"/>
          <w:szCs w:val="24"/>
        </w:rPr>
        <w:t xml:space="preserve"> below by </w:t>
      </w:r>
      <w:r w:rsidR="004F0D52">
        <w:rPr>
          <w:rFonts w:ascii="Roboto Light" w:eastAsia="Calibri" w:hAnsi="Roboto Light" w:cs="Times New Roman"/>
          <w:spacing w:val="-2"/>
          <w:sz w:val="24"/>
          <w:szCs w:val="24"/>
        </w:rPr>
        <w:t>15</w:t>
      </w:r>
      <w:r w:rsidR="00055B37">
        <w:rPr>
          <w:rFonts w:ascii="Roboto Light" w:eastAsia="Calibri" w:hAnsi="Roboto Light" w:cs="Times New Roman"/>
          <w:spacing w:val="-2"/>
          <w:sz w:val="24"/>
          <w:szCs w:val="24"/>
        </w:rPr>
        <w:t>:</w:t>
      </w:r>
      <w:r w:rsidR="004F0D52">
        <w:rPr>
          <w:rFonts w:ascii="Roboto Light" w:eastAsia="Calibri" w:hAnsi="Roboto Light" w:cs="Times New Roman"/>
          <w:spacing w:val="-2"/>
          <w:sz w:val="24"/>
          <w:szCs w:val="24"/>
        </w:rPr>
        <w:t xml:space="preserve">00 hours </w:t>
      </w:r>
      <w:r w:rsidR="00055B37">
        <w:rPr>
          <w:rFonts w:ascii="Roboto Light" w:eastAsia="Calibri" w:hAnsi="Roboto Light" w:cs="Times New Roman"/>
          <w:spacing w:val="-2"/>
          <w:sz w:val="24"/>
          <w:szCs w:val="24"/>
        </w:rPr>
        <w:t xml:space="preserve">Jeddah </w:t>
      </w:r>
      <w:r w:rsidR="004F0D52">
        <w:rPr>
          <w:rFonts w:ascii="Roboto Light" w:eastAsia="Calibri" w:hAnsi="Roboto Light" w:cs="Times New Roman"/>
          <w:spacing w:val="-2"/>
          <w:sz w:val="24"/>
          <w:szCs w:val="24"/>
        </w:rPr>
        <w:t xml:space="preserve">Standard Time on </w:t>
      </w:r>
      <w:r w:rsidR="00055B37">
        <w:rPr>
          <w:rFonts w:ascii="Roboto Light" w:eastAsia="Calibri" w:hAnsi="Roboto Light" w:cs="Times New Roman"/>
          <w:spacing w:val="-2"/>
          <w:sz w:val="24"/>
          <w:szCs w:val="24"/>
        </w:rPr>
        <w:t xml:space="preserve">June </w:t>
      </w:r>
      <w:r w:rsidR="004F0D52">
        <w:rPr>
          <w:rFonts w:ascii="Roboto Light" w:eastAsia="Calibri" w:hAnsi="Roboto Light" w:cs="Times New Roman"/>
          <w:spacing w:val="-2"/>
          <w:sz w:val="24"/>
          <w:szCs w:val="24"/>
        </w:rPr>
        <w:t>30, 20</w:t>
      </w:r>
      <w:r w:rsidR="00055B37">
        <w:rPr>
          <w:rFonts w:ascii="Roboto Light" w:eastAsia="Calibri" w:hAnsi="Roboto Light" w:cs="Times New Roman"/>
          <w:spacing w:val="-2"/>
          <w:sz w:val="24"/>
          <w:szCs w:val="24"/>
        </w:rPr>
        <w:t>20</w:t>
      </w:r>
      <w:r w:rsidR="004F0D52">
        <w:rPr>
          <w:rFonts w:ascii="Roboto Light" w:eastAsia="Calibri" w:hAnsi="Roboto Light" w:cs="Times New Roman"/>
          <w:spacing w:val="-2"/>
          <w:sz w:val="24"/>
          <w:szCs w:val="24"/>
        </w:rPr>
        <w:t xml:space="preserve">. </w:t>
      </w:r>
    </w:p>
    <w:p w14:paraId="135306E1" w14:textId="77777777" w:rsidR="00A84DF1" w:rsidRDefault="00A84DF1" w:rsidP="004F0D52">
      <w:pPr>
        <w:spacing w:before="120" w:after="120" w:line="240" w:lineRule="auto"/>
        <w:rPr>
          <w:rFonts w:ascii="Roboto Light" w:eastAsia="Calibri" w:hAnsi="Roboto Light" w:cs="Times New Roman"/>
          <w:spacing w:val="-2"/>
          <w:sz w:val="24"/>
          <w:szCs w:val="24"/>
        </w:rPr>
      </w:pPr>
    </w:p>
    <w:tbl>
      <w:tblPr>
        <w:tblStyle w:val="TableGrid"/>
        <w:tblW w:w="9360" w:type="dxa"/>
        <w:tblInd w:w="-5" w:type="dxa"/>
        <w:tblLook w:val="04A0" w:firstRow="1" w:lastRow="0" w:firstColumn="1" w:lastColumn="0" w:noHBand="0" w:noVBand="1"/>
      </w:tblPr>
      <w:tblGrid>
        <w:gridCol w:w="3240"/>
        <w:gridCol w:w="3150"/>
        <w:gridCol w:w="2970"/>
      </w:tblGrid>
      <w:tr w:rsidR="001B0409" w:rsidRPr="000A2A7D" w14:paraId="71DB5EBE" w14:textId="77777777" w:rsidTr="00890ECA">
        <w:trPr>
          <w:trHeight w:val="178"/>
        </w:trPr>
        <w:tc>
          <w:tcPr>
            <w:tcW w:w="3240" w:type="dxa"/>
            <w:shd w:val="clear" w:color="auto" w:fill="DBE5F1" w:themeFill="accent1" w:themeFillTint="33"/>
          </w:tcPr>
          <w:p w14:paraId="4182A0FC" w14:textId="77777777" w:rsidR="001B0409" w:rsidRPr="000A2A7D" w:rsidRDefault="001B0409" w:rsidP="00890ECA">
            <w:pPr>
              <w:widowControl w:val="0"/>
              <w:bidi w:val="0"/>
              <w:jc w:val="center"/>
              <w:rPr>
                <w:rFonts w:ascii="Roboto" w:hAnsi="Roboto"/>
                <w:bCs/>
                <w:iCs/>
                <w:spacing w:val="-2"/>
                <w:sz w:val="24"/>
                <w:szCs w:val="24"/>
              </w:rPr>
            </w:pPr>
            <w:r w:rsidRPr="000A2A7D">
              <w:rPr>
                <w:rFonts w:ascii="Roboto" w:hAnsi="Roboto"/>
                <w:bCs/>
                <w:iCs/>
                <w:spacing w:val="-2"/>
                <w:sz w:val="24"/>
                <w:szCs w:val="24"/>
              </w:rPr>
              <w:lastRenderedPageBreak/>
              <w:t>Name</w:t>
            </w:r>
          </w:p>
        </w:tc>
        <w:tc>
          <w:tcPr>
            <w:tcW w:w="3150" w:type="dxa"/>
            <w:shd w:val="clear" w:color="auto" w:fill="DBE5F1" w:themeFill="accent1" w:themeFillTint="33"/>
          </w:tcPr>
          <w:p w14:paraId="4B66BEA9" w14:textId="77777777" w:rsidR="001B0409" w:rsidRPr="000A2A7D" w:rsidRDefault="001B0409" w:rsidP="00890ECA">
            <w:pPr>
              <w:widowControl w:val="0"/>
              <w:bidi w:val="0"/>
              <w:jc w:val="center"/>
              <w:rPr>
                <w:rFonts w:ascii="Roboto" w:hAnsi="Roboto"/>
                <w:bCs/>
                <w:iCs/>
                <w:spacing w:val="-2"/>
                <w:sz w:val="24"/>
                <w:szCs w:val="24"/>
              </w:rPr>
            </w:pPr>
            <w:r>
              <w:rPr>
                <w:rFonts w:ascii="Roboto" w:hAnsi="Roboto"/>
                <w:bCs/>
                <w:iCs/>
                <w:noProof/>
                <w:spacing w:val="-2"/>
                <w:sz w:val="24"/>
                <w:szCs w:val="24"/>
              </w:rPr>
              <w:drawing>
                <wp:inline distT="0" distB="0" distL="0" distR="0" wp14:anchorId="3028C5FB" wp14:editId="273FF8D0">
                  <wp:extent cx="161925" cy="16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p>
        </w:tc>
        <w:tc>
          <w:tcPr>
            <w:tcW w:w="2970" w:type="dxa"/>
            <w:shd w:val="clear" w:color="auto" w:fill="DBE5F1" w:themeFill="accent1" w:themeFillTint="33"/>
          </w:tcPr>
          <w:p w14:paraId="3FAD2E70" w14:textId="77777777" w:rsidR="001B0409" w:rsidRPr="000A2A7D" w:rsidRDefault="001B0409" w:rsidP="00890ECA">
            <w:pPr>
              <w:widowControl w:val="0"/>
              <w:jc w:val="center"/>
              <w:rPr>
                <w:rFonts w:ascii="Roboto" w:hAnsi="Roboto"/>
                <w:bCs/>
                <w:iCs/>
                <w:spacing w:val="-2"/>
                <w:sz w:val="24"/>
                <w:szCs w:val="24"/>
              </w:rPr>
            </w:pPr>
            <w:r>
              <w:rPr>
                <w:rFonts w:ascii="Verdana" w:hAnsi="Verdana"/>
                <w:noProof/>
                <w:color w:val="000000"/>
                <w:sz w:val="16"/>
                <w:szCs w:val="16"/>
              </w:rPr>
              <w:drawing>
                <wp:inline distT="0" distB="0" distL="0" distR="0" wp14:anchorId="5C391A1A" wp14:editId="15AB4FC8">
                  <wp:extent cx="182880" cy="182880"/>
                  <wp:effectExtent l="0" t="0" r="7620" b="7620"/>
                  <wp:docPr id="4" name="Picture 4" descr="cid:image002.jpg@01D6182C.2520C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6182C.2520C2E0"/>
                          <pic:cNvPicPr>
                            <a:picLocks noChangeAspect="1" noChangeArrowheads="1"/>
                          </pic:cNvPicPr>
                        </pic:nvPicPr>
                        <pic:blipFill>
                          <a:blip r:embed="rId8" r:link="rId10">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83905" cy="183905"/>
                          </a:xfrm>
                          <a:prstGeom prst="rect">
                            <a:avLst/>
                          </a:prstGeom>
                          <a:noFill/>
                          <a:ln>
                            <a:noFill/>
                          </a:ln>
                        </pic:spPr>
                      </pic:pic>
                    </a:graphicData>
                  </a:graphic>
                </wp:inline>
              </w:drawing>
            </w:r>
          </w:p>
        </w:tc>
      </w:tr>
      <w:tr w:rsidR="001B0409" w:rsidRPr="000A2A7D" w14:paraId="65D2236E" w14:textId="77777777" w:rsidTr="00890ECA">
        <w:trPr>
          <w:trHeight w:val="49"/>
        </w:trPr>
        <w:tc>
          <w:tcPr>
            <w:tcW w:w="3240" w:type="dxa"/>
          </w:tcPr>
          <w:p w14:paraId="07CE99FC" w14:textId="77777777" w:rsidR="001B0409" w:rsidRPr="000A2A7D" w:rsidRDefault="001B0409" w:rsidP="00890ECA">
            <w:pPr>
              <w:widowControl w:val="0"/>
              <w:bidi w:val="0"/>
              <w:jc w:val="center"/>
              <w:rPr>
                <w:rFonts w:ascii="Roboto Light" w:hAnsi="Roboto Light"/>
                <w:bCs/>
                <w:iCs/>
                <w:spacing w:val="-2"/>
                <w:sz w:val="22"/>
                <w:szCs w:val="22"/>
              </w:rPr>
            </w:pPr>
            <w:r>
              <w:rPr>
                <w:rFonts w:ascii="Roboto Light" w:hAnsi="Roboto Light"/>
                <w:bCs/>
                <w:iCs/>
                <w:spacing w:val="-2"/>
                <w:sz w:val="22"/>
                <w:szCs w:val="22"/>
              </w:rPr>
              <w:t>Mehmet Fehmi Eken</w:t>
            </w:r>
          </w:p>
        </w:tc>
        <w:tc>
          <w:tcPr>
            <w:tcW w:w="3150" w:type="dxa"/>
          </w:tcPr>
          <w:p w14:paraId="1BF60EDF" w14:textId="77777777" w:rsidR="001B0409" w:rsidRPr="000A2A7D" w:rsidRDefault="001B0409" w:rsidP="00890ECA">
            <w:pPr>
              <w:widowControl w:val="0"/>
              <w:bidi w:val="0"/>
              <w:jc w:val="center"/>
              <w:rPr>
                <w:rFonts w:ascii="Roboto Light" w:hAnsi="Roboto Light"/>
                <w:bCs/>
                <w:iCs/>
                <w:spacing w:val="-2"/>
                <w:sz w:val="22"/>
                <w:szCs w:val="22"/>
              </w:rPr>
            </w:pPr>
            <w:r>
              <w:rPr>
                <w:rFonts w:ascii="Roboto Light" w:hAnsi="Roboto Light"/>
                <w:bCs/>
                <w:iCs/>
                <w:spacing w:val="-2"/>
                <w:sz w:val="22"/>
                <w:szCs w:val="22"/>
              </w:rPr>
              <w:t>MEken</w:t>
            </w:r>
            <w:r w:rsidRPr="000A2A7D">
              <w:rPr>
                <w:rFonts w:ascii="Roboto Light" w:hAnsi="Roboto Light"/>
                <w:bCs/>
                <w:iCs/>
                <w:spacing w:val="-2"/>
                <w:sz w:val="22"/>
                <w:szCs w:val="22"/>
              </w:rPr>
              <w:t>@isdb.org</w:t>
            </w:r>
          </w:p>
        </w:tc>
        <w:tc>
          <w:tcPr>
            <w:tcW w:w="2970" w:type="dxa"/>
          </w:tcPr>
          <w:p w14:paraId="49A54EF0" w14:textId="77777777" w:rsidR="001B0409" w:rsidRPr="000A2A7D" w:rsidRDefault="001B0409" w:rsidP="00890ECA">
            <w:pPr>
              <w:widowControl w:val="0"/>
              <w:bidi w:val="0"/>
              <w:jc w:val="center"/>
              <w:rPr>
                <w:rFonts w:ascii="Roboto Light" w:hAnsi="Roboto Light"/>
                <w:bCs/>
                <w:iCs/>
                <w:spacing w:val="-2"/>
                <w:sz w:val="22"/>
                <w:szCs w:val="22"/>
              </w:rPr>
            </w:pPr>
            <w:r w:rsidRPr="000A2A7D">
              <w:rPr>
                <w:rFonts w:ascii="Roboto Light" w:hAnsi="Roboto Light"/>
                <w:bCs/>
                <w:iCs/>
                <w:spacing w:val="-2"/>
                <w:sz w:val="22"/>
                <w:szCs w:val="22"/>
              </w:rPr>
              <w:t>+966 (12) 646 711</w:t>
            </w:r>
            <w:r>
              <w:rPr>
                <w:rFonts w:ascii="Roboto Light" w:hAnsi="Roboto Light"/>
                <w:bCs/>
                <w:iCs/>
                <w:spacing w:val="-2"/>
                <w:sz w:val="22"/>
                <w:szCs w:val="22"/>
              </w:rPr>
              <w:t>8</w:t>
            </w:r>
          </w:p>
        </w:tc>
      </w:tr>
      <w:tr w:rsidR="001B0409" w:rsidRPr="000A2A7D" w14:paraId="1CD19AB5" w14:textId="77777777" w:rsidTr="00890ECA">
        <w:trPr>
          <w:trHeight w:val="178"/>
        </w:trPr>
        <w:tc>
          <w:tcPr>
            <w:tcW w:w="3240" w:type="dxa"/>
          </w:tcPr>
          <w:p w14:paraId="49A60F6C" w14:textId="77777777" w:rsidR="001B0409" w:rsidRPr="000A2A7D" w:rsidRDefault="001B0409" w:rsidP="00890ECA">
            <w:pPr>
              <w:widowControl w:val="0"/>
              <w:bidi w:val="0"/>
              <w:jc w:val="center"/>
              <w:rPr>
                <w:rFonts w:ascii="Roboto Light" w:hAnsi="Roboto Light"/>
                <w:bCs/>
                <w:iCs/>
                <w:spacing w:val="-2"/>
              </w:rPr>
            </w:pPr>
            <w:r w:rsidRPr="00E60A40">
              <w:rPr>
                <w:rFonts w:ascii="Roboto Light" w:hAnsi="Roboto Light"/>
                <w:bCs/>
                <w:iCs/>
                <w:spacing w:val="-2"/>
                <w:sz w:val="22"/>
                <w:szCs w:val="22"/>
              </w:rPr>
              <w:t>Syed Faiq Najeeb</w:t>
            </w:r>
          </w:p>
        </w:tc>
        <w:tc>
          <w:tcPr>
            <w:tcW w:w="3150" w:type="dxa"/>
          </w:tcPr>
          <w:p w14:paraId="02AA819F" w14:textId="77777777" w:rsidR="001B0409" w:rsidRPr="000A2A7D" w:rsidRDefault="001B0409" w:rsidP="00890ECA">
            <w:pPr>
              <w:widowControl w:val="0"/>
              <w:bidi w:val="0"/>
              <w:jc w:val="center"/>
              <w:rPr>
                <w:rFonts w:ascii="Roboto Light" w:hAnsi="Roboto Light"/>
                <w:bCs/>
                <w:iCs/>
                <w:spacing w:val="-2"/>
              </w:rPr>
            </w:pPr>
            <w:r w:rsidRPr="00E60A40">
              <w:rPr>
                <w:rFonts w:ascii="Roboto Light" w:hAnsi="Roboto Light"/>
                <w:bCs/>
                <w:iCs/>
                <w:spacing w:val="-2"/>
                <w:sz w:val="22"/>
                <w:szCs w:val="22"/>
              </w:rPr>
              <w:t>SNajeeb@isdb.org</w:t>
            </w:r>
          </w:p>
        </w:tc>
        <w:tc>
          <w:tcPr>
            <w:tcW w:w="2970" w:type="dxa"/>
          </w:tcPr>
          <w:p w14:paraId="623B6D01" w14:textId="77777777" w:rsidR="001B0409" w:rsidRPr="000A2A7D" w:rsidRDefault="001B0409" w:rsidP="00890ECA">
            <w:pPr>
              <w:widowControl w:val="0"/>
              <w:bidi w:val="0"/>
              <w:jc w:val="center"/>
              <w:rPr>
                <w:rFonts w:ascii="Roboto Light" w:hAnsi="Roboto Light"/>
                <w:bCs/>
                <w:iCs/>
                <w:spacing w:val="-2"/>
              </w:rPr>
            </w:pPr>
            <w:r w:rsidRPr="00E60A40">
              <w:rPr>
                <w:rFonts w:ascii="Roboto Light" w:hAnsi="Roboto Light"/>
                <w:bCs/>
                <w:iCs/>
                <w:spacing w:val="-2"/>
                <w:sz w:val="22"/>
                <w:szCs w:val="22"/>
              </w:rPr>
              <w:t>+966 (12) 646 7119</w:t>
            </w:r>
          </w:p>
        </w:tc>
      </w:tr>
    </w:tbl>
    <w:p w14:paraId="733B970A" w14:textId="50CC1D08" w:rsidR="00A84DF1" w:rsidRDefault="00A84DF1" w:rsidP="001B0409">
      <w:pPr>
        <w:spacing w:after="120" w:line="240" w:lineRule="auto"/>
        <w:rPr>
          <w:rFonts w:ascii="Roboto Light" w:eastAsia="Calibri" w:hAnsi="Roboto Light" w:cs="Times New Roman"/>
          <w:spacing w:val="-2"/>
          <w:sz w:val="24"/>
          <w:szCs w:val="24"/>
        </w:rPr>
      </w:pPr>
    </w:p>
    <w:p w14:paraId="501E4867" w14:textId="5FCB4B96" w:rsidR="00B92E67" w:rsidRPr="00C679AC" w:rsidRDefault="00C679AC" w:rsidP="00C679AC">
      <w:pPr>
        <w:spacing w:after="120" w:line="240" w:lineRule="auto"/>
        <w:jc w:val="center"/>
        <w:rPr>
          <w:rFonts w:ascii="Roboto" w:eastAsia="Calibri" w:hAnsi="Roboto" w:cs="Times New Roman"/>
          <w:spacing w:val="-2"/>
          <w:sz w:val="24"/>
          <w:szCs w:val="24"/>
        </w:rPr>
      </w:pPr>
      <w:r w:rsidRPr="00C679AC">
        <w:rPr>
          <w:rFonts w:ascii="Roboto" w:eastAsia="Calibri" w:hAnsi="Roboto" w:cs="Times New Roman"/>
          <w:spacing w:val="-2"/>
          <w:sz w:val="24"/>
          <w:szCs w:val="24"/>
        </w:rPr>
        <w:t>Islamic Development Bank</w:t>
      </w:r>
      <w:r w:rsidR="003724C1" w:rsidRPr="00C679AC">
        <w:rPr>
          <w:rFonts w:ascii="Roboto" w:eastAsia="Calibri" w:hAnsi="Roboto" w:cs="Times New Roman"/>
          <w:spacing w:val="-2"/>
          <w:sz w:val="24"/>
          <w:szCs w:val="24"/>
        </w:rPr>
        <w:t xml:space="preserve"> </w:t>
      </w:r>
      <w:r w:rsidR="002E3167">
        <w:rPr>
          <w:rFonts w:ascii="Roboto" w:eastAsia="Calibri" w:hAnsi="Roboto" w:cs="Times New Roman"/>
          <w:spacing w:val="-2"/>
          <w:sz w:val="24"/>
          <w:szCs w:val="24"/>
        </w:rPr>
        <w:t>Group</w:t>
      </w:r>
    </w:p>
    <w:p w14:paraId="39E5F8CE" w14:textId="1947ECB6" w:rsidR="00A56F8A" w:rsidRPr="00A56F8A" w:rsidRDefault="003724C1" w:rsidP="00A56F8A">
      <w:pPr>
        <w:spacing w:after="120" w:line="240" w:lineRule="auto"/>
        <w:jc w:val="center"/>
        <w:rPr>
          <w:rFonts w:ascii="Roboto Light" w:eastAsia="Calibri" w:hAnsi="Roboto Light" w:cs="Times New Roman"/>
          <w:spacing w:val="-2"/>
          <w:sz w:val="24"/>
          <w:szCs w:val="24"/>
        </w:rPr>
      </w:pPr>
      <w:r w:rsidRPr="002E3167">
        <w:rPr>
          <w:rFonts w:ascii="Roboto Light" w:eastAsia="Calibri" w:hAnsi="Roboto Light" w:cs="Times New Roman"/>
          <w:spacing w:val="-2"/>
          <w:sz w:val="24"/>
          <w:szCs w:val="24"/>
        </w:rPr>
        <w:t xml:space="preserve">Head </w:t>
      </w:r>
      <w:r w:rsidR="002E3167">
        <w:rPr>
          <w:rFonts w:ascii="Roboto Light" w:eastAsia="Calibri" w:hAnsi="Roboto Light" w:cs="Times New Roman"/>
          <w:spacing w:val="-2"/>
          <w:sz w:val="24"/>
          <w:szCs w:val="24"/>
        </w:rPr>
        <w:t>Quarter</w:t>
      </w:r>
      <w:r w:rsidRPr="002E3167">
        <w:rPr>
          <w:rFonts w:ascii="Roboto Light" w:eastAsia="Calibri" w:hAnsi="Roboto Light" w:cs="Times New Roman"/>
          <w:spacing w:val="-2"/>
          <w:sz w:val="24"/>
          <w:szCs w:val="24"/>
        </w:rPr>
        <w:t>,</w:t>
      </w:r>
      <w:r w:rsidR="00A84DF1" w:rsidRPr="002E3167">
        <w:rPr>
          <w:rFonts w:ascii="Roboto Light" w:eastAsia="Calibri" w:hAnsi="Roboto Light" w:cs="Times New Roman"/>
          <w:spacing w:val="-2"/>
          <w:sz w:val="24"/>
          <w:szCs w:val="24"/>
        </w:rPr>
        <w:t xml:space="preserve"> </w:t>
      </w:r>
      <w:r w:rsidR="00A56F8A" w:rsidRPr="00A56F8A">
        <w:rPr>
          <w:rFonts w:ascii="Roboto Light" w:eastAsia="Calibri" w:hAnsi="Roboto Light" w:cs="Times New Roman"/>
          <w:spacing w:val="-2"/>
          <w:sz w:val="24"/>
          <w:szCs w:val="24"/>
        </w:rPr>
        <w:t>8111 King Khalid St.</w:t>
      </w:r>
      <w:r w:rsidR="00A56F8A">
        <w:rPr>
          <w:rFonts w:ascii="Roboto Light" w:eastAsia="Calibri" w:hAnsi="Roboto Light" w:cs="Times New Roman"/>
          <w:spacing w:val="-2"/>
          <w:sz w:val="24"/>
          <w:szCs w:val="24"/>
        </w:rPr>
        <w:t xml:space="preserve"> </w:t>
      </w:r>
      <w:r w:rsidR="00A56F8A" w:rsidRPr="00A56F8A">
        <w:rPr>
          <w:rFonts w:ascii="Roboto Light" w:eastAsia="Calibri" w:hAnsi="Roboto Light" w:cs="Times New Roman"/>
          <w:spacing w:val="-2"/>
          <w:sz w:val="24"/>
          <w:szCs w:val="24"/>
        </w:rPr>
        <w:t xml:space="preserve">AI </w:t>
      </w:r>
      <w:proofErr w:type="spellStart"/>
      <w:r w:rsidR="00A56F8A" w:rsidRPr="00A56F8A">
        <w:rPr>
          <w:rFonts w:ascii="Roboto Light" w:eastAsia="Calibri" w:hAnsi="Roboto Light" w:cs="Times New Roman"/>
          <w:spacing w:val="-2"/>
          <w:sz w:val="24"/>
          <w:szCs w:val="24"/>
        </w:rPr>
        <w:t>Nuzlah</w:t>
      </w:r>
      <w:proofErr w:type="spellEnd"/>
      <w:r w:rsidR="00A56F8A" w:rsidRPr="00A56F8A">
        <w:rPr>
          <w:rFonts w:ascii="Roboto Light" w:eastAsia="Calibri" w:hAnsi="Roboto Light" w:cs="Times New Roman"/>
          <w:spacing w:val="-2"/>
          <w:sz w:val="24"/>
          <w:szCs w:val="24"/>
        </w:rPr>
        <w:t xml:space="preserve"> AI </w:t>
      </w:r>
      <w:proofErr w:type="spellStart"/>
      <w:r w:rsidR="00A56F8A" w:rsidRPr="00A56F8A">
        <w:rPr>
          <w:rFonts w:ascii="Roboto Light" w:eastAsia="Calibri" w:hAnsi="Roboto Light" w:cs="Times New Roman"/>
          <w:spacing w:val="-2"/>
          <w:sz w:val="24"/>
          <w:szCs w:val="24"/>
        </w:rPr>
        <w:t>Yamania</w:t>
      </w:r>
      <w:proofErr w:type="spellEnd"/>
      <w:r w:rsidR="00A56F8A" w:rsidRPr="00A56F8A">
        <w:rPr>
          <w:rFonts w:ascii="Roboto Light" w:eastAsia="Calibri" w:hAnsi="Roboto Light" w:cs="Times New Roman"/>
          <w:spacing w:val="-2"/>
          <w:sz w:val="24"/>
          <w:szCs w:val="24"/>
        </w:rPr>
        <w:t xml:space="preserve"> Dist. Unit No. 1</w:t>
      </w:r>
    </w:p>
    <w:p w14:paraId="3A9EE9F0" w14:textId="5B1F8C08" w:rsidR="00A56F8A" w:rsidRPr="00A56F8A" w:rsidRDefault="00A56F8A" w:rsidP="00A56F8A">
      <w:pPr>
        <w:spacing w:after="120" w:line="240" w:lineRule="auto"/>
        <w:jc w:val="center"/>
        <w:rPr>
          <w:rFonts w:ascii="Roboto Light" w:eastAsia="Calibri" w:hAnsi="Roboto Light" w:cs="Times New Roman"/>
          <w:spacing w:val="-2"/>
          <w:sz w:val="24"/>
          <w:szCs w:val="24"/>
        </w:rPr>
      </w:pPr>
      <w:r w:rsidRPr="00A56F8A">
        <w:rPr>
          <w:rFonts w:ascii="Roboto Light" w:eastAsia="Calibri" w:hAnsi="Roboto Light" w:cs="Times New Roman"/>
          <w:spacing w:val="-2"/>
          <w:sz w:val="24"/>
          <w:szCs w:val="24"/>
        </w:rPr>
        <w:t>Jeddah</w:t>
      </w:r>
      <w:r>
        <w:rPr>
          <w:rFonts w:ascii="Roboto Light" w:eastAsia="Calibri" w:hAnsi="Roboto Light" w:cs="Times New Roman"/>
          <w:spacing w:val="-2"/>
          <w:sz w:val="24"/>
          <w:szCs w:val="24"/>
        </w:rPr>
        <w:t>,</w:t>
      </w:r>
      <w:r w:rsidRPr="00A56F8A">
        <w:rPr>
          <w:rFonts w:ascii="Roboto Light" w:eastAsia="Calibri" w:hAnsi="Roboto Light" w:cs="Times New Roman"/>
          <w:spacing w:val="-2"/>
          <w:sz w:val="24"/>
          <w:szCs w:val="24"/>
        </w:rPr>
        <w:t xml:space="preserve"> 22332-2444</w:t>
      </w:r>
      <w:r>
        <w:rPr>
          <w:rFonts w:ascii="Roboto Light" w:eastAsia="Calibri" w:hAnsi="Roboto Light" w:cs="Times New Roman"/>
          <w:spacing w:val="-2"/>
          <w:sz w:val="24"/>
          <w:szCs w:val="24"/>
        </w:rPr>
        <w:t xml:space="preserve">, </w:t>
      </w:r>
      <w:r w:rsidRPr="00A56F8A">
        <w:rPr>
          <w:rFonts w:ascii="Roboto Light" w:eastAsia="Calibri" w:hAnsi="Roboto Light" w:cs="Times New Roman"/>
          <w:spacing w:val="-2"/>
          <w:sz w:val="24"/>
          <w:szCs w:val="24"/>
        </w:rPr>
        <w:t>Kingdom of Saudi Arabia</w:t>
      </w:r>
    </w:p>
    <w:p w14:paraId="3A25ECD7" w14:textId="423DC70D" w:rsidR="005E4620" w:rsidRPr="002E3167" w:rsidRDefault="00B92E67" w:rsidP="002E3167">
      <w:pPr>
        <w:spacing w:after="120" w:line="240" w:lineRule="auto"/>
        <w:jc w:val="center"/>
        <w:rPr>
          <w:rFonts w:ascii="Roboto Light" w:eastAsia="Calibri" w:hAnsi="Roboto Light" w:cs="Times New Roman"/>
          <w:spacing w:val="-2"/>
          <w:sz w:val="24"/>
          <w:szCs w:val="24"/>
        </w:rPr>
      </w:pPr>
      <w:r w:rsidRPr="002E3167">
        <w:rPr>
          <w:rFonts w:ascii="Roboto Light" w:eastAsia="Calibri" w:hAnsi="Roboto Light" w:cs="Times New Roman"/>
          <w:spacing w:val="-2"/>
          <w:sz w:val="24"/>
          <w:szCs w:val="24"/>
        </w:rPr>
        <w:t xml:space="preserve">Website: </w:t>
      </w:r>
      <w:hyperlink r:id="rId11" w:history="1">
        <w:r w:rsidR="00226F7B" w:rsidRPr="00226F7B">
          <w:rPr>
            <w:rFonts w:ascii="Roboto Light" w:eastAsia="Calibri" w:hAnsi="Roboto Light" w:cs="Times New Roman"/>
            <w:spacing w:val="-2"/>
            <w:sz w:val="24"/>
            <w:szCs w:val="24"/>
            <w:u w:val="single"/>
          </w:rPr>
          <w:t>https://www.isdb.org</w:t>
        </w:r>
      </w:hyperlink>
      <w:r w:rsidR="0008663B">
        <w:rPr>
          <w:rFonts w:ascii="Roboto Light" w:eastAsia="Calibri" w:hAnsi="Roboto Light" w:cs="Times New Roman"/>
          <w:spacing w:val="-2"/>
          <w:sz w:val="24"/>
          <w:szCs w:val="24"/>
          <w:u w:val="single"/>
        </w:rPr>
        <w:t xml:space="preserve"> </w:t>
      </w:r>
    </w:p>
    <w:p w14:paraId="5BFBC181" w14:textId="77777777" w:rsidR="00566FAB" w:rsidRPr="002E3167" w:rsidRDefault="00566FAB" w:rsidP="002E3167">
      <w:pPr>
        <w:spacing w:after="120" w:line="240" w:lineRule="auto"/>
        <w:jc w:val="center"/>
        <w:rPr>
          <w:rFonts w:ascii="Roboto Light" w:eastAsia="Calibri" w:hAnsi="Roboto Light" w:cs="Times New Roman"/>
          <w:spacing w:val="-2"/>
          <w:sz w:val="24"/>
          <w:szCs w:val="24"/>
        </w:rPr>
      </w:pPr>
    </w:p>
    <w:sectPr w:rsidR="00566FAB" w:rsidRPr="002E3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panose1 w:val="00000500000000000000"/>
    <w:charset w:val="00"/>
    <w:family w:val="auto"/>
    <w:pitch w:val="variable"/>
    <w:sig w:usb0="20000207" w:usb1="00000000" w:usb2="00000000" w:usb3="00000000" w:csb0="00000197" w:csb1="00000000"/>
  </w:font>
  <w:font w:name="Roboto">
    <w:altName w:val="Arial"/>
    <w:panose1 w:val="02000000000000000000"/>
    <w:charset w:val="00"/>
    <w:family w:val="auto"/>
    <w:pitch w:val="variable"/>
    <w:sig w:usb0="E00002E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DC308C"/>
    <w:multiLevelType w:val="hybridMultilevel"/>
    <w:tmpl w:val="630E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91287"/>
    <w:multiLevelType w:val="hybridMultilevel"/>
    <w:tmpl w:val="E57C7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1MDcyMzUzNDczNDVQ0lEKTi0uzszPAykwqwUAA688mSwAAAA="/>
  </w:docVars>
  <w:rsids>
    <w:rsidRoot w:val="0002164D"/>
    <w:rsid w:val="0002164D"/>
    <w:rsid w:val="000448BB"/>
    <w:rsid w:val="00055B37"/>
    <w:rsid w:val="0008663B"/>
    <w:rsid w:val="0009407B"/>
    <w:rsid w:val="000A27E4"/>
    <w:rsid w:val="000B208B"/>
    <w:rsid w:val="000B3CC6"/>
    <w:rsid w:val="001141B1"/>
    <w:rsid w:val="00122988"/>
    <w:rsid w:val="0015220C"/>
    <w:rsid w:val="00162430"/>
    <w:rsid w:val="00182593"/>
    <w:rsid w:val="00182660"/>
    <w:rsid w:val="0018336F"/>
    <w:rsid w:val="001B0409"/>
    <w:rsid w:val="00225D27"/>
    <w:rsid w:val="00226F7B"/>
    <w:rsid w:val="00234B32"/>
    <w:rsid w:val="002A1A20"/>
    <w:rsid w:val="002E3167"/>
    <w:rsid w:val="00353031"/>
    <w:rsid w:val="003618E3"/>
    <w:rsid w:val="003724C1"/>
    <w:rsid w:val="00392F45"/>
    <w:rsid w:val="00400C72"/>
    <w:rsid w:val="00405B23"/>
    <w:rsid w:val="0043321A"/>
    <w:rsid w:val="00447263"/>
    <w:rsid w:val="0045290F"/>
    <w:rsid w:val="00455670"/>
    <w:rsid w:val="004A1377"/>
    <w:rsid w:val="004F0D52"/>
    <w:rsid w:val="004F4E7D"/>
    <w:rsid w:val="00550749"/>
    <w:rsid w:val="00566FAB"/>
    <w:rsid w:val="00594E6F"/>
    <w:rsid w:val="005E4620"/>
    <w:rsid w:val="006053E6"/>
    <w:rsid w:val="006110A4"/>
    <w:rsid w:val="00643E61"/>
    <w:rsid w:val="00661432"/>
    <w:rsid w:val="00680839"/>
    <w:rsid w:val="006E6353"/>
    <w:rsid w:val="0071093E"/>
    <w:rsid w:val="00712EB7"/>
    <w:rsid w:val="00733D59"/>
    <w:rsid w:val="00773502"/>
    <w:rsid w:val="007813C6"/>
    <w:rsid w:val="007F0416"/>
    <w:rsid w:val="007F62B0"/>
    <w:rsid w:val="00820D10"/>
    <w:rsid w:val="008428E7"/>
    <w:rsid w:val="008C20B5"/>
    <w:rsid w:val="008C3A20"/>
    <w:rsid w:val="008F0BD0"/>
    <w:rsid w:val="00902B61"/>
    <w:rsid w:val="00911507"/>
    <w:rsid w:val="00956D53"/>
    <w:rsid w:val="00977B7B"/>
    <w:rsid w:val="009A2139"/>
    <w:rsid w:val="009C7777"/>
    <w:rsid w:val="00A37021"/>
    <w:rsid w:val="00A470E2"/>
    <w:rsid w:val="00A50B54"/>
    <w:rsid w:val="00A56F8A"/>
    <w:rsid w:val="00A84DF1"/>
    <w:rsid w:val="00AA4ECC"/>
    <w:rsid w:val="00AD3729"/>
    <w:rsid w:val="00B176A3"/>
    <w:rsid w:val="00B92E67"/>
    <w:rsid w:val="00BA289F"/>
    <w:rsid w:val="00BB0584"/>
    <w:rsid w:val="00BB7E00"/>
    <w:rsid w:val="00BD2ABD"/>
    <w:rsid w:val="00BE14C7"/>
    <w:rsid w:val="00C05EF5"/>
    <w:rsid w:val="00C2507F"/>
    <w:rsid w:val="00C64859"/>
    <w:rsid w:val="00C64882"/>
    <w:rsid w:val="00C679AC"/>
    <w:rsid w:val="00C859D2"/>
    <w:rsid w:val="00CD3020"/>
    <w:rsid w:val="00CF5214"/>
    <w:rsid w:val="00D02A08"/>
    <w:rsid w:val="00D1352E"/>
    <w:rsid w:val="00D163A6"/>
    <w:rsid w:val="00D230A3"/>
    <w:rsid w:val="00D426DE"/>
    <w:rsid w:val="00D81D97"/>
    <w:rsid w:val="00DA3C02"/>
    <w:rsid w:val="00DC030E"/>
    <w:rsid w:val="00E009E3"/>
    <w:rsid w:val="00E040ED"/>
    <w:rsid w:val="00E14DC0"/>
    <w:rsid w:val="00E16DC2"/>
    <w:rsid w:val="00E32262"/>
    <w:rsid w:val="00E634AE"/>
    <w:rsid w:val="00ED060E"/>
    <w:rsid w:val="00F104C6"/>
    <w:rsid w:val="00F20D7E"/>
    <w:rsid w:val="00F30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2804"/>
  <w15:docId w15:val="{7DEDF8B2-ED62-4B11-9933-72C44046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416"/>
    <w:rPr>
      <w:color w:val="0000FF" w:themeColor="hyperlink"/>
      <w:u w:val="single"/>
    </w:rPr>
  </w:style>
  <w:style w:type="paragraph" w:styleId="BalloonText">
    <w:name w:val="Balloon Text"/>
    <w:basedOn w:val="Normal"/>
    <w:link w:val="BalloonTextChar"/>
    <w:uiPriority w:val="99"/>
    <w:semiHidden/>
    <w:unhideWhenUsed/>
    <w:rsid w:val="00CF5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214"/>
    <w:rPr>
      <w:rFonts w:ascii="Segoe UI" w:hAnsi="Segoe UI" w:cs="Segoe UI"/>
      <w:sz w:val="18"/>
      <w:szCs w:val="18"/>
    </w:rPr>
  </w:style>
  <w:style w:type="paragraph" w:styleId="ListParagraph">
    <w:name w:val="List Paragraph"/>
    <w:basedOn w:val="Normal"/>
    <w:uiPriority w:val="34"/>
    <w:qFormat/>
    <w:rsid w:val="00C2507F"/>
    <w:pPr>
      <w:ind w:left="720"/>
      <w:contextualSpacing/>
    </w:pPr>
  </w:style>
  <w:style w:type="table" w:styleId="TableGrid">
    <w:name w:val="Table Grid"/>
    <w:basedOn w:val="TableNormal"/>
    <w:uiPriority w:val="39"/>
    <w:rsid w:val="001B0409"/>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sdb.org/" TargetMode="External"/><Relationship Id="rId5" Type="http://schemas.openxmlformats.org/officeDocument/2006/relationships/image" Target="media/image1.png"/><Relationship Id="rId10" Type="http://schemas.openxmlformats.org/officeDocument/2006/relationships/image" Target="cid:image002.jpg@01D6182C.2520C2E0" TargetMode="External"/><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638</Words>
  <Characters>3643</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Fehmi Eken</dc:creator>
  <cp:keywords/>
  <dc:description/>
  <cp:lastModifiedBy>Mehmet Eken</cp:lastModifiedBy>
  <cp:revision>6</cp:revision>
  <cp:lastPrinted>2019-09-02T06:27:00Z</cp:lastPrinted>
  <dcterms:created xsi:type="dcterms:W3CDTF">2020-06-10T06:53:00Z</dcterms:created>
  <dcterms:modified xsi:type="dcterms:W3CDTF">2020-06-12T21:02:00Z</dcterms:modified>
</cp:coreProperties>
</file>