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F" w:rsidRDefault="0087365F" w:rsidP="0087365F">
      <w:pPr>
        <w:spacing w:after="0"/>
        <w:ind w:left="272"/>
      </w:pPr>
      <w:r w:rsidRPr="004A1EE6">
        <w:rPr>
          <w:rFonts w:ascii="Roboto Light" w:hAnsi="Roboto Light"/>
          <w:b/>
          <w:bCs/>
          <w:noProof/>
        </w:rPr>
        <w:drawing>
          <wp:anchor distT="0" distB="0" distL="114300" distR="114300" simplePos="0" relativeHeight="251659264" behindDoc="0" locked="0" layoutInCell="1" allowOverlap="1" wp14:anchorId="0B8A236D" wp14:editId="4D7DC4B8">
            <wp:simplePos x="0" y="0"/>
            <wp:positionH relativeFrom="column">
              <wp:posOffset>2330450</wp:posOffset>
            </wp:positionH>
            <wp:positionV relativeFrom="paragraph">
              <wp:posOffset>117475</wp:posOffset>
            </wp:positionV>
            <wp:extent cx="1005840" cy="1371600"/>
            <wp:effectExtent l="0" t="0" r="381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05840" cy="1371600"/>
                    </a:xfrm>
                    <a:prstGeom prst="rect">
                      <a:avLst/>
                    </a:prstGeom>
                  </pic:spPr>
                </pic:pic>
              </a:graphicData>
            </a:graphic>
            <wp14:sizeRelH relativeFrom="page">
              <wp14:pctWidth>0</wp14:pctWidth>
            </wp14:sizeRelH>
            <wp14:sizeRelV relativeFrom="page">
              <wp14:pctHeight>0</wp14:pctHeight>
            </wp14:sizeRelV>
          </wp:anchor>
        </w:drawing>
      </w:r>
    </w:p>
    <w:p w:rsidR="00484CC6" w:rsidRPr="000779BA" w:rsidRDefault="00484CC6" w:rsidP="00484CC6">
      <w:pPr>
        <w:spacing w:before="240"/>
        <w:jc w:val="center"/>
        <w:rPr>
          <w:rFonts w:ascii="Oswald" w:hAnsi="Oswald" w:cs="Calibri"/>
          <w:b/>
          <w:color w:val="002060"/>
          <w:sz w:val="48"/>
          <w:szCs w:val="44"/>
        </w:rPr>
      </w:pPr>
      <w:r w:rsidRPr="000779BA">
        <w:rPr>
          <w:rFonts w:ascii="Oswald" w:hAnsi="Oswald" w:cs="Calibri"/>
          <w:b/>
          <w:color w:val="002060"/>
          <w:sz w:val="48"/>
          <w:szCs w:val="44"/>
        </w:rPr>
        <w:t xml:space="preserve">Islamic Development Bank </w:t>
      </w:r>
    </w:p>
    <w:p w:rsidR="0087365F" w:rsidRDefault="0087365F" w:rsidP="0087365F">
      <w:pPr>
        <w:spacing w:after="0"/>
        <w:jc w:val="center"/>
        <w:rPr>
          <w:sz w:val="32"/>
        </w:rPr>
      </w:pPr>
    </w:p>
    <w:p w:rsidR="00484CC6" w:rsidRPr="00ED2E59" w:rsidRDefault="00484CC6" w:rsidP="0087365F">
      <w:pPr>
        <w:spacing w:after="0"/>
        <w:jc w:val="center"/>
        <w:rPr>
          <w:sz w:val="32"/>
        </w:rPr>
      </w:pPr>
    </w:p>
    <w:p w:rsidR="0087365F" w:rsidRPr="004A1EE6" w:rsidRDefault="0087365F" w:rsidP="0087365F">
      <w:pPr>
        <w:ind w:right="-160"/>
        <w:rPr>
          <w:rFonts w:ascii="Roboto Light" w:hAnsi="Roboto Light"/>
        </w:rPr>
      </w:pPr>
      <w:bookmarkStart w:id="0" w:name="_gjdgxs" w:colFirst="0" w:colLast="0"/>
      <w:bookmarkEnd w:id="0"/>
    </w:p>
    <w:p w:rsidR="0087365F" w:rsidRDefault="0087365F" w:rsidP="0087365F">
      <w:pPr>
        <w:jc w:val="center"/>
        <w:rPr>
          <w:rFonts w:ascii="Roboto Light" w:hAnsi="Roboto Light"/>
          <w:b/>
          <w:iCs/>
          <w:sz w:val="36"/>
          <w:szCs w:val="36"/>
        </w:rPr>
      </w:pPr>
    </w:p>
    <w:p w:rsidR="00484CC6" w:rsidRDefault="0087365F" w:rsidP="000A7C90">
      <w:pPr>
        <w:spacing w:before="240"/>
        <w:jc w:val="center"/>
        <w:rPr>
          <w:rFonts w:ascii="Oswald" w:hAnsi="Oswald" w:cs="Calibri"/>
          <w:b/>
          <w:color w:val="002060"/>
          <w:sz w:val="44"/>
          <w:szCs w:val="40"/>
          <w:u w:val="single"/>
        </w:rPr>
      </w:pPr>
      <w:r>
        <w:rPr>
          <w:rFonts w:ascii="Oswald" w:hAnsi="Oswald" w:cs="Calibri"/>
          <w:b/>
          <w:color w:val="002060"/>
          <w:sz w:val="44"/>
          <w:szCs w:val="40"/>
          <w:u w:val="single"/>
        </w:rPr>
        <w:t xml:space="preserve">TERMS OF REFERENCE </w:t>
      </w:r>
      <w:r w:rsidR="00102706">
        <w:rPr>
          <w:rFonts w:ascii="Oswald" w:hAnsi="Oswald" w:cs="Calibri"/>
          <w:b/>
          <w:color w:val="002060"/>
          <w:sz w:val="44"/>
          <w:szCs w:val="40"/>
          <w:u w:val="single"/>
        </w:rPr>
        <w:t xml:space="preserve">OF </w:t>
      </w:r>
      <w:r w:rsidR="00484CC6">
        <w:rPr>
          <w:rFonts w:ascii="Oswald" w:hAnsi="Oswald" w:cs="Calibri"/>
          <w:b/>
          <w:color w:val="002060"/>
          <w:sz w:val="44"/>
          <w:szCs w:val="40"/>
          <w:u w:val="single"/>
        </w:rPr>
        <w:t>CONSULTANT FOR</w:t>
      </w:r>
    </w:p>
    <w:p w:rsidR="0087365F" w:rsidRPr="00D84828" w:rsidRDefault="00484CC6" w:rsidP="000A7C90">
      <w:pPr>
        <w:spacing w:before="240"/>
        <w:jc w:val="center"/>
        <w:rPr>
          <w:rFonts w:ascii="Oswald" w:hAnsi="Oswald" w:cs="Calibri"/>
          <w:b/>
          <w:color w:val="002060"/>
          <w:sz w:val="44"/>
          <w:szCs w:val="40"/>
          <w:u w:val="single"/>
        </w:rPr>
      </w:pPr>
      <w:r>
        <w:rPr>
          <w:rFonts w:ascii="Oswald" w:hAnsi="Oswald" w:cs="Calibri"/>
          <w:b/>
          <w:color w:val="002060"/>
          <w:sz w:val="44"/>
          <w:szCs w:val="40"/>
          <w:u w:val="single"/>
        </w:rPr>
        <w:t>ENHANCING QUALITY OF OPERATIO</w:t>
      </w:r>
      <w:r w:rsidR="003646FD">
        <w:rPr>
          <w:rFonts w:ascii="Oswald" w:hAnsi="Oswald" w:cs="Calibri"/>
          <w:b/>
          <w:color w:val="002060"/>
          <w:sz w:val="44"/>
          <w:szCs w:val="40"/>
          <w:u w:val="single"/>
        </w:rPr>
        <w:t>N</w:t>
      </w:r>
      <w:r>
        <w:rPr>
          <w:rFonts w:ascii="Oswald" w:hAnsi="Oswald" w:cs="Calibri"/>
          <w:b/>
          <w:color w:val="002060"/>
          <w:sz w:val="44"/>
          <w:szCs w:val="40"/>
          <w:u w:val="single"/>
        </w:rPr>
        <w:t>AL DOCUMENTS</w:t>
      </w:r>
    </w:p>
    <w:p w:rsidR="0087365F" w:rsidRPr="00373B60" w:rsidRDefault="0087365F" w:rsidP="0087365F">
      <w:pPr>
        <w:spacing w:after="120"/>
        <w:rPr>
          <w:b/>
          <w:sz w:val="44"/>
          <w:szCs w:val="44"/>
        </w:rPr>
      </w:pPr>
    </w:p>
    <w:p w:rsidR="0087365F" w:rsidRPr="00373B60" w:rsidRDefault="0087365F" w:rsidP="0087365F">
      <w:pPr>
        <w:spacing w:after="120"/>
        <w:jc w:val="center"/>
        <w:rPr>
          <w:b/>
          <w:sz w:val="32"/>
        </w:rPr>
      </w:pPr>
    </w:p>
    <w:p w:rsidR="0087365F" w:rsidRDefault="0087365F" w:rsidP="0087365F">
      <w:pPr>
        <w:jc w:val="center"/>
        <w:rPr>
          <w:rFonts w:cs="PT Bold Heading"/>
          <w:snapToGrid w:val="0"/>
          <w:color w:val="113239"/>
          <w:sz w:val="28"/>
          <w:szCs w:val="32"/>
          <w:lang w:eastAsia="en-GB"/>
        </w:rPr>
      </w:pPr>
    </w:p>
    <w:p w:rsidR="0087365F" w:rsidRDefault="0087365F" w:rsidP="0087365F">
      <w:pPr>
        <w:jc w:val="center"/>
        <w:rPr>
          <w:rFonts w:cs="PT Bold Heading"/>
          <w:snapToGrid w:val="0"/>
          <w:color w:val="113239"/>
          <w:sz w:val="28"/>
          <w:szCs w:val="32"/>
          <w:lang w:eastAsia="en-GB"/>
        </w:rPr>
      </w:pPr>
    </w:p>
    <w:p w:rsidR="0087365F" w:rsidRDefault="0087365F" w:rsidP="0087365F">
      <w:pPr>
        <w:jc w:val="center"/>
        <w:rPr>
          <w:rFonts w:cs="PT Bold Heading"/>
          <w:snapToGrid w:val="0"/>
          <w:color w:val="113239"/>
          <w:sz w:val="28"/>
          <w:szCs w:val="32"/>
          <w:lang w:eastAsia="en-GB"/>
        </w:rPr>
      </w:pPr>
    </w:p>
    <w:p w:rsidR="0087365F" w:rsidRDefault="0087365F" w:rsidP="0087365F">
      <w:pPr>
        <w:jc w:val="center"/>
        <w:rPr>
          <w:rFonts w:cs="PT Bold Heading"/>
          <w:snapToGrid w:val="0"/>
          <w:color w:val="113239"/>
          <w:sz w:val="28"/>
          <w:szCs w:val="32"/>
          <w:lang w:eastAsia="en-GB"/>
        </w:rPr>
      </w:pPr>
    </w:p>
    <w:p w:rsidR="0087365F" w:rsidRDefault="000A7C90" w:rsidP="000A7C90">
      <w:pPr>
        <w:spacing w:after="0"/>
        <w:jc w:val="center"/>
        <w:rPr>
          <w:rFonts w:cs="PT Bold Heading"/>
          <w:snapToGrid w:val="0"/>
          <w:color w:val="113239"/>
          <w:sz w:val="28"/>
          <w:szCs w:val="32"/>
          <w:lang w:eastAsia="en-GB"/>
        </w:rPr>
      </w:pPr>
      <w:r>
        <w:rPr>
          <w:rFonts w:cs="PT Bold Heading"/>
          <w:snapToGrid w:val="0"/>
          <w:color w:val="113239"/>
          <w:sz w:val="28"/>
          <w:szCs w:val="32"/>
          <w:lang w:eastAsia="en-GB"/>
        </w:rPr>
        <w:t>Operations Quality and Results Division</w:t>
      </w:r>
    </w:p>
    <w:p w:rsidR="00484CC6" w:rsidRDefault="00484CC6" w:rsidP="000A7C90">
      <w:pPr>
        <w:spacing w:after="0"/>
        <w:jc w:val="center"/>
        <w:rPr>
          <w:rFonts w:cs="PT Bold Heading"/>
          <w:snapToGrid w:val="0"/>
          <w:color w:val="113239"/>
          <w:sz w:val="28"/>
          <w:szCs w:val="32"/>
          <w:lang w:eastAsia="en-GB"/>
        </w:rPr>
      </w:pPr>
      <w:r>
        <w:rPr>
          <w:rFonts w:cs="PT Bold Heading"/>
          <w:snapToGrid w:val="0"/>
          <w:color w:val="113239"/>
          <w:sz w:val="28"/>
          <w:szCs w:val="32"/>
          <w:lang w:eastAsia="en-GB"/>
        </w:rPr>
        <w:t>Office of the Vice President, Country Programs</w:t>
      </w:r>
    </w:p>
    <w:p w:rsidR="00484CC6" w:rsidRPr="000779BA" w:rsidRDefault="00484CC6" w:rsidP="000A7C90">
      <w:pPr>
        <w:spacing w:after="0"/>
        <w:jc w:val="center"/>
        <w:rPr>
          <w:rFonts w:cs="PT Bold Heading"/>
          <w:snapToGrid w:val="0"/>
          <w:color w:val="113239"/>
          <w:sz w:val="28"/>
          <w:szCs w:val="32"/>
          <w:lang w:eastAsia="en-GB"/>
        </w:rPr>
      </w:pPr>
    </w:p>
    <w:p w:rsidR="0087365F" w:rsidRDefault="0087365F" w:rsidP="0087365F">
      <w:pPr>
        <w:spacing w:after="0"/>
        <w:jc w:val="center"/>
      </w:pPr>
      <w:r>
        <w:rPr>
          <w:rFonts w:cs="PT Bold Heading"/>
          <w:snapToGrid w:val="0"/>
          <w:color w:val="113239"/>
          <w:sz w:val="28"/>
          <w:szCs w:val="32"/>
          <w:lang w:eastAsia="en-GB"/>
        </w:rPr>
        <w:t>November</w:t>
      </w:r>
      <w:r w:rsidRPr="00FD2393">
        <w:rPr>
          <w:rFonts w:cs="PT Bold Heading"/>
          <w:snapToGrid w:val="0"/>
          <w:color w:val="113239"/>
          <w:sz w:val="28"/>
          <w:szCs w:val="32"/>
          <w:lang w:eastAsia="en-GB"/>
        </w:rPr>
        <w:t xml:space="preserve"> 2018</w:t>
      </w:r>
      <w:r>
        <w:rPr>
          <w:rFonts w:cs="PT Bold Heading"/>
          <w:snapToGrid w:val="0"/>
          <w:color w:val="113239"/>
          <w:sz w:val="28"/>
          <w:szCs w:val="32"/>
          <w:lang w:eastAsia="en-GB"/>
        </w:rPr>
        <w:t xml:space="preserve"> </w:t>
      </w:r>
    </w:p>
    <w:p w:rsidR="00484CC6" w:rsidRPr="00D84828" w:rsidRDefault="00484CC6" w:rsidP="00484CC6">
      <w:pPr>
        <w:spacing w:before="240"/>
        <w:jc w:val="center"/>
        <w:rPr>
          <w:rFonts w:ascii="Oswald" w:hAnsi="Oswald" w:cs="Calibri"/>
          <w:b/>
          <w:color w:val="002060"/>
          <w:sz w:val="44"/>
          <w:szCs w:val="40"/>
          <w:u w:val="single"/>
        </w:rPr>
      </w:pPr>
      <w:r>
        <w:rPr>
          <w:rFonts w:ascii="Oswald" w:hAnsi="Oswald" w:cs="Calibri"/>
          <w:b/>
          <w:color w:val="002060"/>
          <w:sz w:val="44"/>
          <w:szCs w:val="40"/>
          <w:u w:val="single"/>
        </w:rPr>
        <w:lastRenderedPageBreak/>
        <w:t xml:space="preserve">Terms of Reference of </w:t>
      </w:r>
      <w:r w:rsidR="00E72FC7">
        <w:rPr>
          <w:rFonts w:ascii="Oswald" w:hAnsi="Oswald" w:cs="Calibri"/>
          <w:b/>
          <w:color w:val="002060"/>
          <w:sz w:val="44"/>
          <w:szCs w:val="40"/>
          <w:u w:val="single"/>
        </w:rPr>
        <w:t>C</w:t>
      </w:r>
      <w:r>
        <w:rPr>
          <w:rFonts w:ascii="Oswald" w:hAnsi="Oswald" w:cs="Calibri"/>
          <w:b/>
          <w:color w:val="002060"/>
          <w:sz w:val="44"/>
          <w:szCs w:val="40"/>
          <w:u w:val="single"/>
        </w:rPr>
        <w:t xml:space="preserve">onsultant for Enhancing </w:t>
      </w:r>
      <w:r w:rsidR="00E72FC7">
        <w:rPr>
          <w:rFonts w:ascii="Oswald" w:hAnsi="Oswald" w:cs="Calibri"/>
          <w:b/>
          <w:color w:val="002060"/>
          <w:sz w:val="44"/>
          <w:szCs w:val="40"/>
          <w:u w:val="single"/>
        </w:rPr>
        <w:t>Q</w:t>
      </w:r>
      <w:r>
        <w:rPr>
          <w:rFonts w:ascii="Oswald" w:hAnsi="Oswald" w:cs="Calibri"/>
          <w:b/>
          <w:color w:val="002060"/>
          <w:sz w:val="44"/>
          <w:szCs w:val="40"/>
          <w:u w:val="single"/>
        </w:rPr>
        <w:t>uality of Operatio</w:t>
      </w:r>
      <w:r w:rsidR="00E72FC7">
        <w:rPr>
          <w:rFonts w:ascii="Oswald" w:hAnsi="Oswald" w:cs="Calibri"/>
          <w:b/>
          <w:color w:val="002060"/>
          <w:sz w:val="44"/>
          <w:szCs w:val="40"/>
          <w:u w:val="single"/>
        </w:rPr>
        <w:t>n</w:t>
      </w:r>
      <w:r>
        <w:rPr>
          <w:rFonts w:ascii="Oswald" w:hAnsi="Oswald" w:cs="Calibri"/>
          <w:b/>
          <w:color w:val="002060"/>
          <w:sz w:val="44"/>
          <w:szCs w:val="40"/>
          <w:u w:val="single"/>
        </w:rPr>
        <w:t>al Documents</w:t>
      </w:r>
    </w:p>
    <w:p w:rsidR="0067455F" w:rsidRPr="00E72FC7" w:rsidRDefault="0067455F" w:rsidP="00F765B2">
      <w:pPr>
        <w:pStyle w:val="Heading1"/>
        <w:numPr>
          <w:ilvl w:val="0"/>
          <w:numId w:val="7"/>
        </w:numPr>
        <w:shd w:val="clear" w:color="auto" w:fill="D9E2F3" w:themeFill="accent5" w:themeFillTint="33"/>
        <w:spacing w:before="240" w:after="240" w:line="240" w:lineRule="auto"/>
        <w:rPr>
          <w:rFonts w:ascii="Oswald" w:hAnsi="Oswald"/>
          <w:sz w:val="28"/>
          <w:szCs w:val="28"/>
        </w:rPr>
      </w:pPr>
      <w:r w:rsidRPr="00E72FC7">
        <w:rPr>
          <w:rFonts w:ascii="Oswald" w:hAnsi="Oswald"/>
          <w:sz w:val="28"/>
          <w:szCs w:val="28"/>
        </w:rPr>
        <w:t>Introduction</w:t>
      </w:r>
    </w:p>
    <w:p w:rsidR="0067455F" w:rsidRPr="0067455F" w:rsidRDefault="0067455F" w:rsidP="0067455F">
      <w:pPr>
        <w:jc w:val="both"/>
        <w:rPr>
          <w:rFonts w:ascii="Roboto Light" w:hAnsi="Roboto Light"/>
          <w:sz w:val="24"/>
          <w:szCs w:val="24"/>
        </w:rPr>
      </w:pPr>
      <w:r w:rsidRPr="0067455F">
        <w:rPr>
          <w:rFonts w:ascii="Roboto Light" w:hAnsi="Roboto Light"/>
          <w:sz w:val="24"/>
          <w:szCs w:val="24"/>
        </w:rPr>
        <w:t>The Islamic Development Bank (IsDB) is a Multilateral Development Institution established in 1975 by Articles of Agreement with a membership comprising 57 Member Countries (MCs). The IsDB was set up to act as a catalyst for</w:t>
      </w:r>
      <w:r w:rsidR="00DB1BB1">
        <w:rPr>
          <w:rFonts w:ascii="Roboto Light" w:hAnsi="Roboto Light"/>
          <w:sz w:val="24"/>
          <w:szCs w:val="24"/>
        </w:rPr>
        <w:t xml:space="preserve"> comprehensive</w:t>
      </w:r>
      <w:r w:rsidRPr="0067455F">
        <w:rPr>
          <w:rFonts w:ascii="Roboto Light" w:hAnsi="Roboto Light"/>
          <w:sz w:val="24"/>
          <w:szCs w:val="24"/>
        </w:rPr>
        <w:t xml:space="preserve"> human development, providing Islamic modes of project finance, advisory and technical support to stimulate econo</w:t>
      </w:r>
      <w:r w:rsidR="00DB1BB1">
        <w:rPr>
          <w:rFonts w:ascii="Roboto Light" w:hAnsi="Roboto Light"/>
          <w:sz w:val="24"/>
          <w:szCs w:val="24"/>
        </w:rPr>
        <w:t>mic and social progress in its Member C</w:t>
      </w:r>
      <w:r w:rsidRPr="0067455F">
        <w:rPr>
          <w:rFonts w:ascii="Roboto Light" w:hAnsi="Roboto Light"/>
          <w:sz w:val="24"/>
          <w:szCs w:val="24"/>
        </w:rPr>
        <w:t>ountries</w:t>
      </w:r>
      <w:r w:rsidR="00DB1BB1">
        <w:rPr>
          <w:rFonts w:ascii="Roboto Light" w:hAnsi="Roboto Light"/>
          <w:sz w:val="24"/>
          <w:szCs w:val="24"/>
        </w:rPr>
        <w:t xml:space="preserve"> (MCs) and Muslim Communities in Non</w:t>
      </w:r>
      <w:r w:rsidR="00E72FC7">
        <w:rPr>
          <w:rFonts w:ascii="Roboto Light" w:hAnsi="Roboto Light"/>
          <w:sz w:val="24"/>
          <w:szCs w:val="24"/>
        </w:rPr>
        <w:t>-</w:t>
      </w:r>
      <w:r w:rsidR="00DB1BB1">
        <w:rPr>
          <w:rFonts w:ascii="Roboto Light" w:hAnsi="Roboto Light"/>
          <w:sz w:val="24"/>
          <w:szCs w:val="24"/>
        </w:rPr>
        <w:t>Member Countries (NMCs)</w:t>
      </w:r>
      <w:r w:rsidRPr="0067455F">
        <w:rPr>
          <w:rFonts w:ascii="Roboto Light" w:hAnsi="Roboto Light"/>
          <w:sz w:val="24"/>
          <w:szCs w:val="24"/>
        </w:rPr>
        <w:t xml:space="preserve">. The Bank is inspired by Islamic principles with a vision to achieve human dignity for all. </w:t>
      </w:r>
    </w:p>
    <w:p w:rsidR="000A7C90" w:rsidRDefault="0067455F" w:rsidP="0067455F">
      <w:pPr>
        <w:jc w:val="both"/>
        <w:rPr>
          <w:rFonts w:ascii="Roboto Light" w:hAnsi="Roboto Light"/>
          <w:sz w:val="24"/>
          <w:szCs w:val="24"/>
        </w:rPr>
      </w:pPr>
      <w:r w:rsidRPr="0067455F">
        <w:rPr>
          <w:rFonts w:ascii="Roboto Light" w:hAnsi="Roboto Light"/>
          <w:sz w:val="24"/>
          <w:szCs w:val="24"/>
        </w:rPr>
        <w:t xml:space="preserve">The Bank formulated its ’10-Year Strategy’ to advance the institution to the next level in the coming decade, in order to ensure that its development work remains valid and relevant to the current social and economic trends and is aligned to the 2030 development agenda. The Strategy revolves around three strategic objectives and five priority areas in which inclusive development is a principal mandate. </w:t>
      </w:r>
    </w:p>
    <w:p w:rsidR="0067455F" w:rsidRPr="0067455F" w:rsidRDefault="0067455F" w:rsidP="0067455F">
      <w:pPr>
        <w:jc w:val="both"/>
        <w:rPr>
          <w:rFonts w:ascii="Roboto Light" w:hAnsi="Roboto Light"/>
          <w:sz w:val="24"/>
          <w:szCs w:val="24"/>
        </w:rPr>
      </w:pPr>
      <w:r w:rsidRPr="0067455F">
        <w:rPr>
          <w:rFonts w:ascii="Roboto Light" w:hAnsi="Roboto Light"/>
          <w:sz w:val="24"/>
          <w:szCs w:val="24"/>
        </w:rPr>
        <w:t>The President, IsDB developed a Five</w:t>
      </w:r>
      <w:r w:rsidR="00E72FC7">
        <w:rPr>
          <w:rFonts w:ascii="Roboto Light" w:hAnsi="Roboto Light"/>
          <w:sz w:val="24"/>
          <w:szCs w:val="24"/>
        </w:rPr>
        <w:t xml:space="preserve"> </w:t>
      </w:r>
      <w:r w:rsidRPr="0067455F">
        <w:rPr>
          <w:rFonts w:ascii="Roboto Light" w:hAnsi="Roboto Light"/>
          <w:sz w:val="24"/>
          <w:szCs w:val="24"/>
        </w:rPr>
        <w:t>Year Program (P5P) to better position the Bank to deliver on its mandate and priorities. The P5P intends to transform the business model of the institution into a more development-focused approach</w:t>
      </w:r>
      <w:r w:rsidR="00B72518">
        <w:rPr>
          <w:rFonts w:ascii="Roboto Light" w:hAnsi="Roboto Light"/>
          <w:sz w:val="24"/>
          <w:szCs w:val="24"/>
        </w:rPr>
        <w:t xml:space="preserve"> and new decentralization model has been adopted by the Bank</w:t>
      </w:r>
      <w:r w:rsidRPr="0067455F">
        <w:rPr>
          <w:rFonts w:ascii="Roboto Light" w:hAnsi="Roboto Light"/>
          <w:sz w:val="24"/>
          <w:szCs w:val="24"/>
        </w:rPr>
        <w:t>.</w:t>
      </w:r>
    </w:p>
    <w:p w:rsidR="000A7C90" w:rsidRPr="00E72FC7" w:rsidRDefault="00F765B2" w:rsidP="00F765B2">
      <w:pPr>
        <w:pStyle w:val="Heading1"/>
        <w:numPr>
          <w:ilvl w:val="0"/>
          <w:numId w:val="7"/>
        </w:numPr>
        <w:shd w:val="clear" w:color="auto" w:fill="D9E2F3" w:themeFill="accent5" w:themeFillTint="33"/>
        <w:spacing w:before="240" w:after="240" w:line="240" w:lineRule="auto"/>
        <w:rPr>
          <w:rFonts w:ascii="Oswald" w:hAnsi="Oswald"/>
          <w:sz w:val="28"/>
          <w:szCs w:val="28"/>
        </w:rPr>
      </w:pPr>
      <w:r>
        <w:rPr>
          <w:rFonts w:ascii="Oswald" w:hAnsi="Oswald"/>
          <w:sz w:val="28"/>
          <w:szCs w:val="28"/>
        </w:rPr>
        <w:t>Background</w:t>
      </w:r>
    </w:p>
    <w:p w:rsidR="0067455F" w:rsidRDefault="000A7C90" w:rsidP="00E72FC7">
      <w:pPr>
        <w:jc w:val="both"/>
        <w:rPr>
          <w:rFonts w:ascii="Roboto Light" w:hAnsi="Roboto Light"/>
          <w:sz w:val="24"/>
          <w:szCs w:val="24"/>
        </w:rPr>
      </w:pPr>
      <w:r>
        <w:rPr>
          <w:rFonts w:ascii="Roboto Light" w:hAnsi="Roboto Light"/>
          <w:sz w:val="24"/>
          <w:szCs w:val="24"/>
        </w:rPr>
        <w:t xml:space="preserve">Greater emphasis of IsDB is on quality of projects during operations cycle </w:t>
      </w:r>
      <w:r w:rsidR="00484CC6">
        <w:rPr>
          <w:rFonts w:ascii="Roboto Light" w:hAnsi="Roboto Light"/>
          <w:sz w:val="24"/>
          <w:szCs w:val="24"/>
        </w:rPr>
        <w:t xml:space="preserve">and to enhance operational </w:t>
      </w:r>
      <w:r w:rsidRPr="000A7C90">
        <w:rPr>
          <w:rFonts w:ascii="Roboto Light" w:hAnsi="Roboto Light"/>
          <w:sz w:val="24"/>
          <w:szCs w:val="24"/>
        </w:rPr>
        <w:t>efficiency</w:t>
      </w:r>
      <w:r w:rsidR="00484CC6">
        <w:rPr>
          <w:rFonts w:ascii="Roboto Light" w:hAnsi="Roboto Light"/>
          <w:sz w:val="24"/>
          <w:szCs w:val="24"/>
        </w:rPr>
        <w:t xml:space="preserve"> and effectiveness</w:t>
      </w:r>
      <w:r w:rsidRPr="000A7C90">
        <w:rPr>
          <w:rFonts w:ascii="Roboto Light" w:hAnsi="Roboto Light"/>
          <w:sz w:val="24"/>
          <w:szCs w:val="24"/>
        </w:rPr>
        <w:t>. The Country Program Complex (CPC)</w:t>
      </w:r>
      <w:r w:rsidR="00484CC6">
        <w:rPr>
          <w:rFonts w:ascii="Roboto Light" w:hAnsi="Roboto Light"/>
          <w:sz w:val="24"/>
          <w:szCs w:val="24"/>
        </w:rPr>
        <w:t xml:space="preserve"> is responsible to identify, plan, approve and implement all operational activities of the Bank. T</w:t>
      </w:r>
      <w:r w:rsidRPr="000A7C90">
        <w:rPr>
          <w:rFonts w:ascii="Roboto Light" w:hAnsi="Roboto Light"/>
          <w:sz w:val="24"/>
          <w:szCs w:val="24"/>
        </w:rPr>
        <w:t xml:space="preserve">he Bank is striving to attain </w:t>
      </w:r>
      <w:r w:rsidR="00484CC6">
        <w:rPr>
          <w:rFonts w:ascii="Roboto Light" w:hAnsi="Roboto Light"/>
          <w:sz w:val="24"/>
          <w:szCs w:val="24"/>
        </w:rPr>
        <w:t xml:space="preserve">high standard of quality </w:t>
      </w:r>
      <w:r w:rsidRPr="000A7C90">
        <w:rPr>
          <w:rFonts w:ascii="Roboto Light" w:hAnsi="Roboto Light"/>
          <w:sz w:val="24"/>
          <w:szCs w:val="24"/>
        </w:rPr>
        <w:t>as a world class institute. This is very much in line with one of key tracks of the action plan of the CPC for enhancing quality of its operational documents.</w:t>
      </w:r>
      <w:r w:rsidR="00484CC6">
        <w:rPr>
          <w:rFonts w:ascii="Roboto Light" w:hAnsi="Roboto Light"/>
          <w:sz w:val="24"/>
          <w:szCs w:val="24"/>
        </w:rPr>
        <w:t xml:space="preserve"> </w:t>
      </w:r>
      <w:r w:rsidRPr="000A7C90">
        <w:rPr>
          <w:rFonts w:ascii="Roboto Light" w:hAnsi="Roboto Light"/>
          <w:sz w:val="24"/>
          <w:szCs w:val="24"/>
        </w:rPr>
        <w:t xml:space="preserve">In order to achieve these institutional goals, the </w:t>
      </w:r>
      <w:r w:rsidR="00484CC6">
        <w:rPr>
          <w:rFonts w:ascii="Roboto Light" w:hAnsi="Roboto Light"/>
          <w:sz w:val="24"/>
          <w:szCs w:val="24"/>
        </w:rPr>
        <w:t>Management</w:t>
      </w:r>
      <w:r w:rsidRPr="000A7C90">
        <w:rPr>
          <w:rFonts w:ascii="Roboto Light" w:hAnsi="Roboto Light"/>
          <w:sz w:val="24"/>
          <w:szCs w:val="24"/>
        </w:rPr>
        <w:t xml:space="preserve"> has constituted a Quality Review Advisory Group</w:t>
      </w:r>
      <w:r w:rsidR="00484CC6">
        <w:rPr>
          <w:rFonts w:ascii="Roboto Light" w:hAnsi="Roboto Light"/>
          <w:sz w:val="24"/>
          <w:szCs w:val="24"/>
        </w:rPr>
        <w:t>, revised Operations Management Committee and Operation and Development Effectiveness Committee of the Board.</w:t>
      </w:r>
    </w:p>
    <w:p w:rsidR="00484CC6" w:rsidRPr="000A7C90" w:rsidRDefault="00484CC6" w:rsidP="00E72FC7">
      <w:pPr>
        <w:jc w:val="both"/>
        <w:rPr>
          <w:rFonts w:ascii="Roboto Light" w:hAnsi="Roboto Light"/>
          <w:sz w:val="24"/>
          <w:szCs w:val="24"/>
        </w:rPr>
      </w:pPr>
      <w:r>
        <w:rPr>
          <w:rFonts w:ascii="Roboto Light" w:hAnsi="Roboto Light"/>
          <w:sz w:val="24"/>
          <w:szCs w:val="24"/>
        </w:rPr>
        <w:t>Proper mechanisms and effective support is required for enhancing quality by effective functioning of the quality assurance forums of the Bank.</w:t>
      </w:r>
    </w:p>
    <w:p w:rsidR="00FD1293" w:rsidRPr="00E72FC7" w:rsidRDefault="00FD1293" w:rsidP="00F765B2">
      <w:pPr>
        <w:pStyle w:val="Heading1"/>
        <w:numPr>
          <w:ilvl w:val="0"/>
          <w:numId w:val="7"/>
        </w:numPr>
        <w:shd w:val="clear" w:color="auto" w:fill="D9E2F3" w:themeFill="accent5" w:themeFillTint="33"/>
        <w:spacing w:before="240" w:after="240" w:line="240" w:lineRule="auto"/>
        <w:rPr>
          <w:rFonts w:ascii="Oswald" w:hAnsi="Oswald"/>
          <w:sz w:val="28"/>
          <w:szCs w:val="28"/>
        </w:rPr>
      </w:pPr>
      <w:bookmarkStart w:id="1" w:name="_1pwxxx70h81e" w:colFirst="0" w:colLast="0"/>
      <w:bookmarkEnd w:id="1"/>
      <w:r w:rsidRPr="00E72FC7">
        <w:rPr>
          <w:rFonts w:ascii="Oswald" w:hAnsi="Oswald"/>
          <w:sz w:val="28"/>
          <w:szCs w:val="28"/>
        </w:rPr>
        <w:lastRenderedPageBreak/>
        <w:t>Deliverables and Scope of Services</w:t>
      </w:r>
    </w:p>
    <w:p w:rsidR="00476D22" w:rsidRDefault="00FD1293" w:rsidP="00007BDE">
      <w:pPr>
        <w:pBdr>
          <w:top w:val="nil"/>
          <w:left w:val="nil"/>
          <w:bottom w:val="nil"/>
          <w:right w:val="nil"/>
          <w:between w:val="nil"/>
        </w:pBdr>
        <w:spacing w:before="120" w:after="120" w:line="240" w:lineRule="auto"/>
        <w:jc w:val="both"/>
        <w:rPr>
          <w:rFonts w:ascii="Roboto Light" w:hAnsi="Roboto Light"/>
          <w:sz w:val="24"/>
          <w:szCs w:val="24"/>
        </w:rPr>
      </w:pPr>
      <w:r w:rsidRPr="00ED5268">
        <w:rPr>
          <w:rFonts w:ascii="Roboto Light" w:hAnsi="Roboto Light"/>
          <w:sz w:val="24"/>
          <w:szCs w:val="24"/>
        </w:rPr>
        <w:t xml:space="preserve">The consultant should produce </w:t>
      </w:r>
      <w:r w:rsidR="00285F87" w:rsidRPr="00ED5268">
        <w:rPr>
          <w:rFonts w:ascii="Roboto Light" w:hAnsi="Roboto Light"/>
          <w:sz w:val="24"/>
          <w:szCs w:val="24"/>
        </w:rPr>
        <w:t>strategy document</w:t>
      </w:r>
      <w:r w:rsidR="00B725D7">
        <w:rPr>
          <w:rFonts w:ascii="Roboto Light" w:hAnsi="Roboto Light"/>
          <w:sz w:val="24"/>
          <w:szCs w:val="24"/>
        </w:rPr>
        <w:t xml:space="preserve"> that will guide the interventions of the Bank to effectively support the Muslim Communities in Non</w:t>
      </w:r>
      <w:r w:rsidR="00007BDE">
        <w:rPr>
          <w:rFonts w:ascii="Roboto Light" w:hAnsi="Roboto Light"/>
          <w:sz w:val="24"/>
          <w:szCs w:val="24"/>
        </w:rPr>
        <w:t>-</w:t>
      </w:r>
      <w:r w:rsidR="00B725D7">
        <w:rPr>
          <w:rFonts w:ascii="Roboto Light" w:hAnsi="Roboto Light"/>
          <w:sz w:val="24"/>
          <w:szCs w:val="24"/>
        </w:rPr>
        <w:t xml:space="preserve">Member Countries. </w:t>
      </w:r>
      <w:r w:rsidRPr="00ED5268">
        <w:rPr>
          <w:rFonts w:ascii="Roboto Light" w:hAnsi="Roboto Light"/>
          <w:sz w:val="24"/>
          <w:szCs w:val="24"/>
        </w:rPr>
        <w:t xml:space="preserve"> The</w:t>
      </w:r>
      <w:r w:rsidR="00285F87" w:rsidRPr="00ED5268">
        <w:rPr>
          <w:rFonts w:ascii="Roboto Light" w:hAnsi="Roboto Light"/>
          <w:sz w:val="24"/>
          <w:szCs w:val="24"/>
        </w:rPr>
        <w:t xml:space="preserve"> strategy document will include</w:t>
      </w:r>
      <w:r w:rsidR="00476D22">
        <w:rPr>
          <w:rFonts w:ascii="Roboto Light" w:hAnsi="Roboto Light"/>
          <w:sz w:val="24"/>
          <w:szCs w:val="24"/>
        </w:rPr>
        <w:t xml:space="preserve"> the following:</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Manage the Operations Management Committee (OMC) Chaired by the Vice President Country Programs</w:t>
      </w:r>
      <w:r>
        <w:rPr>
          <w:rFonts w:ascii="Roboto Light" w:hAnsi="Roboto Light"/>
          <w:sz w:val="24"/>
          <w:szCs w:val="24"/>
        </w:rPr>
        <w:t xml:space="preserve"> which clear all Operation Financing of the Bank</w:t>
      </w:r>
      <w:r w:rsidR="00C0070B">
        <w:rPr>
          <w:rFonts w:ascii="Roboto Light" w:hAnsi="Roboto Light"/>
          <w:sz w:val="24"/>
          <w:szCs w:val="24"/>
        </w:rPr>
        <w:t>;</w:t>
      </w:r>
    </w:p>
    <w:p w:rsidR="007873FF"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Pr>
          <w:rFonts w:ascii="Roboto Light" w:hAnsi="Roboto Light"/>
          <w:sz w:val="24"/>
          <w:szCs w:val="24"/>
        </w:rPr>
        <w:t xml:space="preserve">Support work of the </w:t>
      </w:r>
      <w:r w:rsidRPr="000A7C90">
        <w:rPr>
          <w:rFonts w:ascii="Roboto Light" w:hAnsi="Roboto Light"/>
          <w:sz w:val="24"/>
          <w:szCs w:val="24"/>
        </w:rPr>
        <w:t>Quality Assurance and Review Group (QRAG) or any other quality review and decision</w:t>
      </w:r>
      <w:r w:rsidR="006E33EB">
        <w:rPr>
          <w:rFonts w:ascii="Roboto Light" w:hAnsi="Roboto Light"/>
          <w:sz w:val="24"/>
          <w:szCs w:val="24"/>
        </w:rPr>
        <w:t xml:space="preserve"> </w:t>
      </w:r>
      <w:r w:rsidR="007873FF">
        <w:rPr>
          <w:rFonts w:ascii="Roboto Light" w:hAnsi="Roboto Light"/>
          <w:sz w:val="24"/>
          <w:szCs w:val="24"/>
        </w:rPr>
        <w:t xml:space="preserve">making forums to be established, </w:t>
      </w:r>
      <w:r w:rsidRPr="000A7C90">
        <w:rPr>
          <w:rFonts w:ascii="Roboto Light" w:hAnsi="Roboto Light"/>
          <w:sz w:val="24"/>
          <w:szCs w:val="24"/>
        </w:rPr>
        <w:t>Director General Global Practices (DG-GP)</w:t>
      </w:r>
      <w:r w:rsidR="00C0070B">
        <w:rPr>
          <w:rFonts w:ascii="Roboto Light" w:hAnsi="Roboto Light"/>
          <w:sz w:val="24"/>
          <w:szCs w:val="24"/>
        </w:rPr>
        <w:t>;</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Pr>
          <w:rFonts w:ascii="Roboto Light" w:hAnsi="Roboto Light"/>
          <w:sz w:val="24"/>
          <w:szCs w:val="24"/>
        </w:rPr>
        <w:t>Set Agenda,</w:t>
      </w:r>
      <w:r w:rsidRPr="000A7C90">
        <w:rPr>
          <w:rFonts w:ascii="Roboto Light" w:hAnsi="Roboto Light"/>
          <w:sz w:val="24"/>
          <w:szCs w:val="24"/>
        </w:rPr>
        <w:t xml:space="preserve"> organize the meetings, take and prepare the minutes and</w:t>
      </w:r>
      <w:r w:rsidR="006E33EB">
        <w:rPr>
          <w:rFonts w:ascii="Roboto Light" w:hAnsi="Roboto Light"/>
          <w:sz w:val="24"/>
          <w:szCs w:val="24"/>
        </w:rPr>
        <w:t xml:space="preserve"> </w:t>
      </w:r>
      <w:r w:rsidRPr="000A7C90">
        <w:rPr>
          <w:rFonts w:ascii="Roboto Light" w:hAnsi="Roboto Light"/>
          <w:sz w:val="24"/>
          <w:szCs w:val="24"/>
        </w:rPr>
        <w:t>circulate minutes and Quality Review Enhancement Note (QREN) before the next meeting, highlight matters arising and track their implementation</w:t>
      </w:r>
      <w:r w:rsidR="006E33EB">
        <w:rPr>
          <w:rFonts w:ascii="Roboto Light" w:hAnsi="Roboto Light"/>
          <w:sz w:val="24"/>
          <w:szCs w:val="24"/>
        </w:rPr>
        <w:t xml:space="preserve"> of decision</w:t>
      </w:r>
      <w:r w:rsidR="00C0070B">
        <w:rPr>
          <w:rFonts w:ascii="Roboto Light" w:hAnsi="Roboto Light"/>
          <w:sz w:val="24"/>
          <w:szCs w:val="24"/>
        </w:rPr>
        <w:t xml:space="preserve"> etc.;</w:t>
      </w:r>
    </w:p>
    <w:p w:rsid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Review all documents that have complied with OMC and QRAG guidance and comment</w:t>
      </w:r>
      <w:r w:rsidR="00480DBA">
        <w:rPr>
          <w:rFonts w:ascii="Roboto Light" w:hAnsi="Roboto Light"/>
          <w:sz w:val="24"/>
          <w:szCs w:val="24"/>
        </w:rPr>
        <w:t xml:space="preserve"> before further processing</w:t>
      </w:r>
      <w:r w:rsidRPr="000A7C90">
        <w:rPr>
          <w:rFonts w:ascii="Roboto Light" w:hAnsi="Roboto Light"/>
          <w:sz w:val="24"/>
          <w:szCs w:val="24"/>
        </w:rPr>
        <w:t>;</w:t>
      </w:r>
    </w:p>
    <w:p w:rsidR="00480DBA" w:rsidRPr="000A7C90" w:rsidRDefault="00480DBA" w:rsidP="00480DBA">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Follow up and ensure on a regular basis that all systemic operational and fiduciary issues raised by the are adequately addressed in all projects submitted for review</w:t>
      </w:r>
      <w:r>
        <w:rPr>
          <w:rFonts w:ascii="Roboto Light" w:hAnsi="Roboto Light"/>
          <w:sz w:val="24"/>
          <w:szCs w:val="24"/>
        </w:rPr>
        <w:t xml:space="preserve"> </w:t>
      </w:r>
      <w:r w:rsidRPr="000A7C90">
        <w:rPr>
          <w:rFonts w:ascii="Roboto Light" w:hAnsi="Roboto Light"/>
          <w:sz w:val="24"/>
          <w:szCs w:val="24"/>
        </w:rPr>
        <w:t>committees</w:t>
      </w:r>
      <w:r>
        <w:rPr>
          <w:rFonts w:ascii="Roboto Light" w:hAnsi="Roboto Light"/>
          <w:sz w:val="24"/>
          <w:szCs w:val="24"/>
        </w:rPr>
        <w:t>’</w:t>
      </w:r>
      <w:r w:rsidRPr="000A7C90">
        <w:rPr>
          <w:rFonts w:ascii="Roboto Light" w:hAnsi="Roboto Light"/>
          <w:sz w:val="24"/>
          <w:szCs w:val="24"/>
        </w:rPr>
        <w:t xml:space="preserve"> clearance and provide regular feedback to operations entities;</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Coordinate the review of OMC documents and prepare advisory notes for the Chair</w:t>
      </w:r>
      <w:r w:rsidR="00480DBA">
        <w:rPr>
          <w:rFonts w:ascii="Roboto Light" w:hAnsi="Roboto Light"/>
          <w:sz w:val="24"/>
          <w:szCs w:val="24"/>
        </w:rPr>
        <w:t xml:space="preserve"> of the meeting</w:t>
      </w:r>
      <w:r w:rsidRPr="000A7C90">
        <w:rPr>
          <w:rFonts w:ascii="Roboto Light" w:hAnsi="Roboto Light"/>
          <w:sz w:val="24"/>
          <w:szCs w:val="24"/>
        </w:rPr>
        <w:t>;</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Coordinate the review of documents submitted for OMC and QRAG clearance to ensure compliance with all relevant corporate policies and strategies and alignment with the P5P and the Ten-Year Strategy as well as have clear delivery mechanisms prior to submission for consideration by OMC and QRAG;</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 xml:space="preserve">Monitor and report on the CRS and GPs compliance with and </w:t>
      </w:r>
      <w:r w:rsidR="00480DBA">
        <w:rPr>
          <w:rFonts w:ascii="Roboto Light" w:hAnsi="Roboto Light"/>
          <w:sz w:val="24"/>
          <w:szCs w:val="24"/>
        </w:rPr>
        <w:t xml:space="preserve">assuring </w:t>
      </w:r>
      <w:r w:rsidRPr="000A7C90">
        <w:rPr>
          <w:rFonts w:ascii="Roboto Light" w:hAnsi="Roboto Light"/>
          <w:sz w:val="24"/>
          <w:szCs w:val="24"/>
        </w:rPr>
        <w:t>the quality of review process at their level;</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 xml:space="preserve">Prepare the report after each OMC Meeting and QRAG meeting for </w:t>
      </w:r>
      <w:r w:rsidR="00480DBA">
        <w:rPr>
          <w:rFonts w:ascii="Roboto Light" w:hAnsi="Roboto Light"/>
          <w:sz w:val="24"/>
          <w:szCs w:val="24"/>
        </w:rPr>
        <w:t>M</w:t>
      </w:r>
      <w:r w:rsidRPr="000A7C90">
        <w:rPr>
          <w:rFonts w:ascii="Roboto Light" w:hAnsi="Roboto Light"/>
          <w:sz w:val="24"/>
          <w:szCs w:val="24"/>
        </w:rPr>
        <w:t>anagement</w:t>
      </w:r>
      <w:r w:rsidR="00480DBA">
        <w:rPr>
          <w:rFonts w:ascii="Roboto Light" w:hAnsi="Roboto Light"/>
          <w:sz w:val="24"/>
          <w:szCs w:val="24"/>
        </w:rPr>
        <w:t>’s</w:t>
      </w:r>
      <w:r w:rsidRPr="000A7C90">
        <w:rPr>
          <w:rFonts w:ascii="Roboto Light" w:hAnsi="Roboto Light"/>
          <w:sz w:val="24"/>
          <w:szCs w:val="24"/>
        </w:rPr>
        <w:t xml:space="preserve"> decision making</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Develop, maintain, and continuously improve committees Internal Operating Procedures aimed at streamlining and simplifying review meetings;</w:t>
      </w:r>
    </w:p>
    <w:p w:rsidR="000A7C90" w:rsidRP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Review and propose improvements to the efficiency and effectiveness of the quality review and Clearance process</w:t>
      </w:r>
      <w:r w:rsidR="00480DBA">
        <w:rPr>
          <w:rFonts w:ascii="Roboto Light" w:hAnsi="Roboto Light"/>
          <w:sz w:val="24"/>
          <w:szCs w:val="24"/>
        </w:rPr>
        <w:t xml:space="preserve"> and Forums;</w:t>
      </w:r>
    </w:p>
    <w:p w:rsidR="000A7C90" w:rsidRDefault="000A7C90"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sidRPr="000A7C90">
        <w:rPr>
          <w:rFonts w:ascii="Roboto Light" w:hAnsi="Roboto Light"/>
          <w:sz w:val="24"/>
          <w:szCs w:val="24"/>
        </w:rPr>
        <w:t>Review all documents being submitted to the Board to ensure their compliance with the relevant committee minutes and board policies.</w:t>
      </w:r>
    </w:p>
    <w:p w:rsidR="00480DBA" w:rsidRPr="000A7C90" w:rsidRDefault="00480DBA" w:rsidP="00007BDE">
      <w:pPr>
        <w:pStyle w:val="ListParagraph"/>
        <w:numPr>
          <w:ilvl w:val="0"/>
          <w:numId w:val="9"/>
        </w:numPr>
        <w:pBdr>
          <w:top w:val="nil"/>
          <w:left w:val="nil"/>
          <w:bottom w:val="nil"/>
          <w:right w:val="nil"/>
          <w:between w:val="nil"/>
        </w:pBdr>
        <w:spacing w:before="120" w:after="120" w:line="240" w:lineRule="auto"/>
        <w:ind w:hanging="540"/>
        <w:contextualSpacing w:val="0"/>
        <w:jc w:val="both"/>
        <w:rPr>
          <w:rFonts w:ascii="Roboto Light" w:hAnsi="Roboto Light"/>
          <w:sz w:val="24"/>
          <w:szCs w:val="24"/>
        </w:rPr>
      </w:pPr>
      <w:r>
        <w:rPr>
          <w:rFonts w:ascii="Roboto Light" w:hAnsi="Roboto Light"/>
          <w:sz w:val="24"/>
          <w:szCs w:val="24"/>
        </w:rPr>
        <w:t>Suggest enhancement in Quality Review Mechanism and efficiency of Review Forums.</w:t>
      </w:r>
    </w:p>
    <w:p w:rsidR="00FD1293" w:rsidRPr="00BA7516" w:rsidRDefault="00FD1293" w:rsidP="00F765B2">
      <w:pPr>
        <w:pStyle w:val="Heading1"/>
        <w:numPr>
          <w:ilvl w:val="0"/>
          <w:numId w:val="7"/>
        </w:numPr>
        <w:shd w:val="clear" w:color="auto" w:fill="D9E2F3" w:themeFill="accent5" w:themeFillTint="33"/>
        <w:spacing w:before="240" w:after="240" w:line="240" w:lineRule="auto"/>
        <w:contextualSpacing/>
        <w:rPr>
          <w:rFonts w:ascii="Oswald" w:hAnsi="Oswald"/>
          <w:sz w:val="28"/>
          <w:szCs w:val="28"/>
        </w:rPr>
      </w:pPr>
      <w:bookmarkStart w:id="2" w:name="_t2fp606bhq3q" w:colFirst="0" w:colLast="0"/>
      <w:bookmarkEnd w:id="2"/>
      <w:r w:rsidRPr="00BA7516">
        <w:rPr>
          <w:rFonts w:ascii="Oswald" w:hAnsi="Oswald"/>
          <w:sz w:val="28"/>
          <w:szCs w:val="28"/>
        </w:rPr>
        <w:lastRenderedPageBreak/>
        <w:t>Duration of the Assignment</w:t>
      </w:r>
    </w:p>
    <w:p w:rsidR="000A7C90" w:rsidRDefault="00FD1293" w:rsidP="00302E4B">
      <w:pPr>
        <w:spacing w:before="120" w:after="120" w:line="240" w:lineRule="auto"/>
        <w:jc w:val="both"/>
        <w:rPr>
          <w:rFonts w:ascii="Roboto Light" w:hAnsi="Roboto Light"/>
          <w:sz w:val="24"/>
          <w:szCs w:val="24"/>
        </w:rPr>
      </w:pPr>
      <w:r w:rsidRPr="00ED5268">
        <w:rPr>
          <w:rFonts w:ascii="Roboto Light" w:hAnsi="Roboto Light"/>
          <w:sz w:val="24"/>
          <w:szCs w:val="24"/>
        </w:rPr>
        <w:t xml:space="preserve">The duration of the assignment to conclude the work of the consultant is </w:t>
      </w:r>
      <w:r w:rsidR="000A7C90">
        <w:rPr>
          <w:rFonts w:ascii="Roboto Light" w:hAnsi="Roboto Light"/>
          <w:sz w:val="24"/>
          <w:szCs w:val="24"/>
        </w:rPr>
        <w:t>6 Months. The work requires physical presence of the incumbent to be based at IsDB HQ in Jeddah.</w:t>
      </w:r>
    </w:p>
    <w:p w:rsidR="00FD1293" w:rsidRPr="00BA7516" w:rsidRDefault="00FD1293" w:rsidP="00F765B2">
      <w:pPr>
        <w:pStyle w:val="Heading1"/>
        <w:numPr>
          <w:ilvl w:val="0"/>
          <w:numId w:val="7"/>
        </w:numPr>
        <w:shd w:val="clear" w:color="auto" w:fill="D9E2F3" w:themeFill="accent5" w:themeFillTint="33"/>
        <w:spacing w:before="240" w:after="240" w:line="240" w:lineRule="auto"/>
        <w:rPr>
          <w:rFonts w:ascii="Oswald" w:hAnsi="Oswald"/>
          <w:sz w:val="28"/>
          <w:szCs w:val="28"/>
        </w:rPr>
      </w:pPr>
      <w:bookmarkStart w:id="3" w:name="_lnmwb2w6fjrm" w:colFirst="0" w:colLast="0"/>
      <w:bookmarkEnd w:id="3"/>
      <w:r w:rsidRPr="00BA7516">
        <w:rPr>
          <w:rFonts w:ascii="Oswald" w:hAnsi="Oswald"/>
          <w:sz w:val="28"/>
          <w:szCs w:val="28"/>
        </w:rPr>
        <w:t>Selection Criteria</w:t>
      </w:r>
    </w:p>
    <w:p w:rsidR="000D1164" w:rsidRPr="00F53CF3" w:rsidRDefault="000D1164" w:rsidP="000D1164">
      <w:pPr>
        <w:spacing w:before="200" w:after="200"/>
        <w:jc w:val="both"/>
        <w:rPr>
          <w:rFonts w:ascii="Roboto Light" w:hAnsi="Roboto Light"/>
          <w:sz w:val="24"/>
          <w:szCs w:val="24"/>
        </w:rPr>
      </w:pPr>
      <w:bookmarkStart w:id="4" w:name="_2uwj5zock12t" w:colFirst="0" w:colLast="0"/>
      <w:bookmarkEnd w:id="4"/>
      <w:r w:rsidRPr="00F53CF3">
        <w:rPr>
          <w:rFonts w:ascii="Roboto Light" w:hAnsi="Roboto Light"/>
          <w:sz w:val="24"/>
          <w:szCs w:val="24"/>
        </w:rPr>
        <w:t xml:space="preserve">The primary requirement for the consultancy is suitable technical qualification and at least 15 years work experience in an MDB. The consultant must have at least a Master’s Degree in the Social Sciences / Economics / MBA/ IT / or related fields. Besides, the educational qualification, the incumbent must have complemented with long-term work experience related to data governance and management discipline. </w:t>
      </w:r>
    </w:p>
    <w:p w:rsidR="000D1164" w:rsidRPr="00ED5268" w:rsidRDefault="000D1164" w:rsidP="000D1164">
      <w:pPr>
        <w:spacing w:before="120" w:after="120" w:line="240" w:lineRule="auto"/>
        <w:jc w:val="both"/>
        <w:rPr>
          <w:rFonts w:ascii="Roboto Light" w:hAnsi="Roboto Light"/>
          <w:sz w:val="24"/>
          <w:szCs w:val="24"/>
        </w:rPr>
      </w:pPr>
      <w:r w:rsidRPr="00F53CF3">
        <w:rPr>
          <w:rFonts w:ascii="Roboto Light" w:hAnsi="Roboto Light"/>
          <w:sz w:val="24"/>
          <w:szCs w:val="24"/>
        </w:rPr>
        <w:t xml:space="preserve">The evaluation will be based on </w:t>
      </w:r>
      <w:r>
        <w:rPr>
          <w:rFonts w:ascii="Roboto Light" w:hAnsi="Roboto Light"/>
          <w:sz w:val="24"/>
          <w:szCs w:val="24"/>
        </w:rPr>
        <w:t xml:space="preserve">a </w:t>
      </w:r>
      <w:r w:rsidRPr="00F53CF3">
        <w:rPr>
          <w:rFonts w:ascii="Roboto Light" w:hAnsi="Roboto Light"/>
          <w:sz w:val="24"/>
          <w:szCs w:val="24"/>
        </w:rPr>
        <w:t>technical criteria</w:t>
      </w:r>
      <w:r>
        <w:rPr>
          <w:rFonts w:ascii="Roboto Light" w:hAnsi="Roboto Light"/>
          <w:sz w:val="24"/>
          <w:szCs w:val="24"/>
        </w:rPr>
        <w:t>,</w:t>
      </w:r>
      <w:r w:rsidRPr="00F53CF3">
        <w:rPr>
          <w:rFonts w:ascii="Roboto Light" w:hAnsi="Roboto Light"/>
          <w:sz w:val="24"/>
          <w:szCs w:val="24"/>
        </w:rPr>
        <w:t xml:space="preserve"> include the consultant’s qualification, expertise</w:t>
      </w:r>
      <w:r>
        <w:rPr>
          <w:rFonts w:ascii="Roboto Light" w:hAnsi="Roboto Light"/>
          <w:sz w:val="24"/>
          <w:szCs w:val="24"/>
        </w:rPr>
        <w:t>,</w:t>
      </w:r>
      <w:r w:rsidRPr="00F53CF3">
        <w:rPr>
          <w:rFonts w:ascii="Roboto Light" w:hAnsi="Roboto Light"/>
          <w:sz w:val="24"/>
          <w:szCs w:val="24"/>
        </w:rPr>
        <w:t xml:space="preserve"> and experience with IFIs/MDBs.</w:t>
      </w:r>
      <w:bookmarkStart w:id="5" w:name="_GoBack"/>
      <w:bookmarkEnd w:id="5"/>
    </w:p>
    <w:p w:rsidR="00484CC6" w:rsidRPr="009D73FE" w:rsidRDefault="00F765B2" w:rsidP="00F765B2">
      <w:pPr>
        <w:pStyle w:val="Heading1"/>
        <w:numPr>
          <w:ilvl w:val="0"/>
          <w:numId w:val="7"/>
        </w:numPr>
        <w:shd w:val="clear" w:color="auto" w:fill="D9E2F3" w:themeFill="accent5" w:themeFillTint="33"/>
        <w:spacing w:before="240" w:after="240" w:line="240" w:lineRule="auto"/>
        <w:rPr>
          <w:rFonts w:ascii="Oswald" w:hAnsi="Oswald"/>
          <w:sz w:val="28"/>
          <w:szCs w:val="28"/>
        </w:rPr>
      </w:pPr>
      <w:r>
        <w:rPr>
          <w:rFonts w:ascii="Oswald" w:hAnsi="Oswald"/>
          <w:sz w:val="28"/>
          <w:szCs w:val="28"/>
        </w:rPr>
        <w:t>Contact Person</w:t>
      </w:r>
    </w:p>
    <w:p w:rsidR="009D73FE" w:rsidRDefault="009D73FE" w:rsidP="00484CC6">
      <w:pPr>
        <w:spacing w:after="0"/>
        <w:jc w:val="both"/>
        <w:rPr>
          <w:rFonts w:ascii="Roboto Light" w:hAnsi="Roboto Light"/>
          <w:b/>
          <w:sz w:val="24"/>
          <w:szCs w:val="24"/>
        </w:rPr>
      </w:pPr>
    </w:p>
    <w:p w:rsidR="00484CC6" w:rsidRPr="009D73FE" w:rsidRDefault="009D73FE" w:rsidP="00F765B2">
      <w:pPr>
        <w:spacing w:after="0"/>
        <w:ind w:left="360"/>
        <w:jc w:val="both"/>
        <w:rPr>
          <w:rFonts w:ascii="Roboto Light" w:hAnsi="Roboto Light"/>
          <w:bCs/>
          <w:sz w:val="24"/>
          <w:szCs w:val="24"/>
        </w:rPr>
      </w:pPr>
      <w:r w:rsidRPr="009D73FE">
        <w:rPr>
          <w:rFonts w:ascii="Roboto Light" w:hAnsi="Roboto Light"/>
          <w:bCs/>
          <w:sz w:val="24"/>
          <w:szCs w:val="24"/>
        </w:rPr>
        <w:t xml:space="preserve">Mr. </w:t>
      </w:r>
      <w:r w:rsidR="00484CC6" w:rsidRPr="009D73FE">
        <w:rPr>
          <w:rFonts w:ascii="Roboto Light" w:hAnsi="Roboto Light"/>
          <w:bCs/>
          <w:sz w:val="24"/>
          <w:szCs w:val="24"/>
        </w:rPr>
        <w:t xml:space="preserve">Aamir Ghani Mir, </w:t>
      </w:r>
    </w:p>
    <w:p w:rsidR="009D73FE" w:rsidRDefault="00484CC6" w:rsidP="00F765B2">
      <w:pPr>
        <w:spacing w:after="0"/>
        <w:ind w:left="360"/>
        <w:jc w:val="both"/>
        <w:rPr>
          <w:rFonts w:ascii="Roboto Light" w:hAnsi="Roboto Light"/>
          <w:bCs/>
          <w:sz w:val="24"/>
          <w:szCs w:val="24"/>
        </w:rPr>
      </w:pPr>
      <w:r w:rsidRPr="009D73FE">
        <w:rPr>
          <w:rFonts w:ascii="Roboto Light" w:hAnsi="Roboto Light"/>
          <w:bCs/>
          <w:sz w:val="24"/>
          <w:szCs w:val="24"/>
        </w:rPr>
        <w:t>Manager</w:t>
      </w:r>
    </w:p>
    <w:p w:rsidR="00484CC6" w:rsidRDefault="00484CC6" w:rsidP="00F765B2">
      <w:pPr>
        <w:spacing w:after="0"/>
        <w:ind w:left="360"/>
        <w:jc w:val="both"/>
        <w:rPr>
          <w:rFonts w:ascii="Roboto Light" w:hAnsi="Roboto Light"/>
          <w:bCs/>
          <w:sz w:val="24"/>
          <w:szCs w:val="24"/>
        </w:rPr>
      </w:pPr>
      <w:r w:rsidRPr="009D73FE">
        <w:rPr>
          <w:rFonts w:ascii="Roboto Light" w:hAnsi="Roboto Light"/>
          <w:bCs/>
          <w:sz w:val="24"/>
          <w:szCs w:val="24"/>
        </w:rPr>
        <w:t>Operations Quality and Results</w:t>
      </w:r>
      <w:r w:rsidR="009D73FE">
        <w:rPr>
          <w:rFonts w:ascii="Roboto Light" w:hAnsi="Roboto Light"/>
          <w:bCs/>
          <w:sz w:val="24"/>
          <w:szCs w:val="24"/>
        </w:rPr>
        <w:t xml:space="preserve"> (OQR)</w:t>
      </w:r>
    </w:p>
    <w:p w:rsidR="009D73FE" w:rsidRDefault="009D73FE" w:rsidP="00F765B2">
      <w:pPr>
        <w:spacing w:after="0"/>
        <w:ind w:left="360"/>
        <w:jc w:val="both"/>
        <w:rPr>
          <w:rFonts w:ascii="Roboto Light" w:hAnsi="Roboto Light"/>
          <w:iCs/>
          <w:sz w:val="24"/>
          <w:szCs w:val="24"/>
        </w:rPr>
      </w:pPr>
      <w:r>
        <w:rPr>
          <w:rFonts w:ascii="Roboto Light" w:hAnsi="Roboto Light"/>
          <w:iCs/>
          <w:sz w:val="24"/>
          <w:szCs w:val="24"/>
        </w:rPr>
        <w:t>Tel: +966-12-6466905</w:t>
      </w:r>
    </w:p>
    <w:p w:rsidR="00484CC6" w:rsidRDefault="00484CC6" w:rsidP="00F765B2">
      <w:pPr>
        <w:spacing w:after="0"/>
        <w:ind w:left="360"/>
        <w:jc w:val="both"/>
        <w:rPr>
          <w:rStyle w:val="Hyperlink"/>
          <w:rFonts w:ascii="Roboto Light" w:hAnsi="Roboto Light"/>
          <w:iCs/>
          <w:sz w:val="24"/>
          <w:szCs w:val="24"/>
        </w:rPr>
      </w:pPr>
      <w:r w:rsidRPr="009D73FE">
        <w:rPr>
          <w:rFonts w:ascii="Roboto Light" w:hAnsi="Roboto Light"/>
          <w:iCs/>
          <w:sz w:val="24"/>
          <w:szCs w:val="24"/>
        </w:rPr>
        <w:t xml:space="preserve">Email:  </w:t>
      </w:r>
      <w:hyperlink r:id="rId9" w:history="1">
        <w:r w:rsidR="00F765B2" w:rsidRPr="006E30D2">
          <w:rPr>
            <w:rStyle w:val="Hyperlink"/>
            <w:rFonts w:ascii="Roboto Light" w:hAnsi="Roboto Light"/>
            <w:sz w:val="24"/>
            <w:szCs w:val="24"/>
          </w:rPr>
          <w:t>Amir@isdb.org</w:t>
        </w:r>
      </w:hyperlink>
    </w:p>
    <w:p w:rsidR="00FD1293" w:rsidRPr="00ED5268" w:rsidRDefault="00FD1293" w:rsidP="001F35A6">
      <w:pPr>
        <w:jc w:val="both"/>
        <w:rPr>
          <w:rFonts w:ascii="Roboto Light" w:hAnsi="Roboto Light"/>
          <w:sz w:val="24"/>
          <w:szCs w:val="24"/>
        </w:rPr>
      </w:pPr>
    </w:p>
    <w:p w:rsidR="00FD1293" w:rsidRPr="003321FF" w:rsidRDefault="00FD1293" w:rsidP="001F35A6">
      <w:pPr>
        <w:jc w:val="both"/>
        <w:rPr>
          <w:rFonts w:ascii="Roboto Light" w:hAnsi="Roboto Light"/>
          <w:sz w:val="24"/>
          <w:szCs w:val="24"/>
        </w:rPr>
      </w:pPr>
    </w:p>
    <w:sectPr w:rsidR="00FD1293" w:rsidRPr="003321FF" w:rsidSect="00F765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3E" w:rsidRDefault="00FB7D3E" w:rsidP="000F2DDD">
      <w:pPr>
        <w:spacing w:after="0" w:line="240" w:lineRule="auto"/>
      </w:pPr>
      <w:r>
        <w:separator/>
      </w:r>
    </w:p>
  </w:endnote>
  <w:endnote w:type="continuationSeparator" w:id="0">
    <w:p w:rsidR="00FB7D3E" w:rsidRDefault="00FB7D3E" w:rsidP="000F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Oswald">
    <w:altName w:val="Courier New"/>
    <w:panose1 w:val="00000500000000000000"/>
    <w:charset w:val="00"/>
    <w:family w:val="auto"/>
    <w:pitch w:val="variable"/>
    <w:sig w:usb0="20000207" w:usb1="00000000" w:usb2="00000000" w:usb3="00000000" w:csb0="00000197" w:csb1="00000000"/>
  </w:font>
  <w:font w:name="PT Bold Heading">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3E" w:rsidRDefault="00FB7D3E" w:rsidP="000F2DDD">
      <w:pPr>
        <w:spacing w:after="0" w:line="240" w:lineRule="auto"/>
      </w:pPr>
      <w:r>
        <w:separator/>
      </w:r>
    </w:p>
  </w:footnote>
  <w:footnote w:type="continuationSeparator" w:id="0">
    <w:p w:rsidR="00FB7D3E" w:rsidRDefault="00FB7D3E" w:rsidP="000F2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227C"/>
    <w:multiLevelType w:val="hybridMultilevel"/>
    <w:tmpl w:val="61FEE292"/>
    <w:lvl w:ilvl="0" w:tplc="0F384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62A5C"/>
    <w:multiLevelType w:val="hybridMultilevel"/>
    <w:tmpl w:val="F7DA0CCA"/>
    <w:lvl w:ilvl="0" w:tplc="0F384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346C0"/>
    <w:multiLevelType w:val="multilevel"/>
    <w:tmpl w:val="DF764A0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9E27D4"/>
    <w:multiLevelType w:val="multilevel"/>
    <w:tmpl w:val="7D826D66"/>
    <w:lvl w:ilvl="0">
      <w:start w:val="1"/>
      <w:numFmt w:val="decimal"/>
      <w:lvlText w:val="%1."/>
      <w:lvlJc w:val="left"/>
      <w:pPr>
        <w:ind w:left="1440" w:hanging="720"/>
      </w:pPr>
    </w:lvl>
    <w:lvl w:ilvl="1">
      <w:start w:val="1"/>
      <w:numFmt w:val="bullet"/>
      <w:lvlText w:val=""/>
      <w:lvlJc w:val="left"/>
      <w:pPr>
        <w:ind w:left="9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CE73B53"/>
    <w:multiLevelType w:val="multilevel"/>
    <w:tmpl w:val="33468ED2"/>
    <w:lvl w:ilvl="0">
      <w:start w:val="1"/>
      <w:numFmt w:val="bullet"/>
      <w:lvlText w:val=""/>
      <w:lvlJc w:val="left"/>
      <w:pPr>
        <w:ind w:left="1440" w:hanging="72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4754AB7"/>
    <w:multiLevelType w:val="hybridMultilevel"/>
    <w:tmpl w:val="218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14EE8"/>
    <w:multiLevelType w:val="hybridMultilevel"/>
    <w:tmpl w:val="BE66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D5CBB"/>
    <w:multiLevelType w:val="hybridMultilevel"/>
    <w:tmpl w:val="5AAC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5150"/>
    <w:multiLevelType w:val="multilevel"/>
    <w:tmpl w:val="5FF25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7"/>
  </w:num>
  <w:num w:numId="3">
    <w:abstractNumId w:val="1"/>
  </w:num>
  <w:num w:numId="4">
    <w:abstractNumId w:val="0"/>
  </w:num>
  <w:num w:numId="5">
    <w:abstractNumId w:val="3"/>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92"/>
    <w:rsid w:val="00007BDE"/>
    <w:rsid w:val="000137FF"/>
    <w:rsid w:val="00026521"/>
    <w:rsid w:val="00086373"/>
    <w:rsid w:val="000A7C90"/>
    <w:rsid w:val="000D1164"/>
    <w:rsid w:val="000F2DDD"/>
    <w:rsid w:val="000F5CE4"/>
    <w:rsid w:val="00102706"/>
    <w:rsid w:val="001408FF"/>
    <w:rsid w:val="00152BF5"/>
    <w:rsid w:val="00185492"/>
    <w:rsid w:val="001C0808"/>
    <w:rsid w:val="001C33A3"/>
    <w:rsid w:val="001F1910"/>
    <w:rsid w:val="001F35A6"/>
    <w:rsid w:val="00203704"/>
    <w:rsid w:val="00222083"/>
    <w:rsid w:val="00227D01"/>
    <w:rsid w:val="00282E04"/>
    <w:rsid w:val="00285F87"/>
    <w:rsid w:val="0029428B"/>
    <w:rsid w:val="002A5142"/>
    <w:rsid w:val="00302E4B"/>
    <w:rsid w:val="0030616F"/>
    <w:rsid w:val="003321FF"/>
    <w:rsid w:val="00337D6D"/>
    <w:rsid w:val="00363225"/>
    <w:rsid w:val="003646FD"/>
    <w:rsid w:val="00397DD7"/>
    <w:rsid w:val="00401D8C"/>
    <w:rsid w:val="00427304"/>
    <w:rsid w:val="00432771"/>
    <w:rsid w:val="004432D7"/>
    <w:rsid w:val="00444AB9"/>
    <w:rsid w:val="00476D22"/>
    <w:rsid w:val="00480DBA"/>
    <w:rsid w:val="004823DF"/>
    <w:rsid w:val="00484CC6"/>
    <w:rsid w:val="00517250"/>
    <w:rsid w:val="00563DCA"/>
    <w:rsid w:val="005A15A5"/>
    <w:rsid w:val="005E0436"/>
    <w:rsid w:val="005E05D8"/>
    <w:rsid w:val="0065699B"/>
    <w:rsid w:val="00662599"/>
    <w:rsid w:val="00663D32"/>
    <w:rsid w:val="0067455F"/>
    <w:rsid w:val="00682F3D"/>
    <w:rsid w:val="00692E27"/>
    <w:rsid w:val="006B1A65"/>
    <w:rsid w:val="006E33EB"/>
    <w:rsid w:val="00727E37"/>
    <w:rsid w:val="007873FF"/>
    <w:rsid w:val="007949F8"/>
    <w:rsid w:val="007C409C"/>
    <w:rsid w:val="00802C1B"/>
    <w:rsid w:val="0080554B"/>
    <w:rsid w:val="00851633"/>
    <w:rsid w:val="00853F0B"/>
    <w:rsid w:val="0087365F"/>
    <w:rsid w:val="008B66CA"/>
    <w:rsid w:val="008C7FD6"/>
    <w:rsid w:val="008F2FA8"/>
    <w:rsid w:val="00912586"/>
    <w:rsid w:val="00931B12"/>
    <w:rsid w:val="009573B4"/>
    <w:rsid w:val="009D5743"/>
    <w:rsid w:val="009D73FE"/>
    <w:rsid w:val="009F61EC"/>
    <w:rsid w:val="00A66587"/>
    <w:rsid w:val="00A84D82"/>
    <w:rsid w:val="00AB6B73"/>
    <w:rsid w:val="00AB6FA3"/>
    <w:rsid w:val="00B075AE"/>
    <w:rsid w:val="00B14146"/>
    <w:rsid w:val="00B16EC6"/>
    <w:rsid w:val="00B72518"/>
    <w:rsid w:val="00B725D7"/>
    <w:rsid w:val="00B72B7E"/>
    <w:rsid w:val="00BA7516"/>
    <w:rsid w:val="00BB28EC"/>
    <w:rsid w:val="00C0070B"/>
    <w:rsid w:val="00C22A10"/>
    <w:rsid w:val="00C762B2"/>
    <w:rsid w:val="00CC0A64"/>
    <w:rsid w:val="00CD12CC"/>
    <w:rsid w:val="00CF42A5"/>
    <w:rsid w:val="00D26389"/>
    <w:rsid w:val="00D77A48"/>
    <w:rsid w:val="00D82F91"/>
    <w:rsid w:val="00DB13F1"/>
    <w:rsid w:val="00DB1BB1"/>
    <w:rsid w:val="00E04067"/>
    <w:rsid w:val="00E07D72"/>
    <w:rsid w:val="00E3336E"/>
    <w:rsid w:val="00E72FC7"/>
    <w:rsid w:val="00ED5268"/>
    <w:rsid w:val="00F02297"/>
    <w:rsid w:val="00F401F3"/>
    <w:rsid w:val="00F40DA4"/>
    <w:rsid w:val="00F459AC"/>
    <w:rsid w:val="00F50D91"/>
    <w:rsid w:val="00F765B2"/>
    <w:rsid w:val="00FA5D85"/>
    <w:rsid w:val="00FB7D3E"/>
    <w:rsid w:val="00FD1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9851"/>
  <w15:chartTrackingRefBased/>
  <w15:docId w15:val="{5ECB86A8-EA13-4D1F-BC81-57904396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FD1293"/>
    <w:pPr>
      <w:keepNext/>
      <w:keepLines/>
      <w:spacing w:before="200" w:after="0"/>
      <w:ind w:left="1080" w:hanging="720"/>
      <w:jc w:val="both"/>
      <w:outlineLvl w:val="0"/>
    </w:pPr>
    <w:rPr>
      <w:rFonts w:ascii="Times New Roman" w:eastAsia="Times New Roman" w:hAnsi="Times New Roman"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A10"/>
    <w:pPr>
      <w:ind w:left="720"/>
      <w:contextualSpacing/>
    </w:pPr>
  </w:style>
  <w:style w:type="paragraph" w:styleId="FootnoteText">
    <w:name w:val="footnote text"/>
    <w:basedOn w:val="Normal"/>
    <w:link w:val="FootnoteTextChar"/>
    <w:uiPriority w:val="99"/>
    <w:semiHidden/>
    <w:unhideWhenUsed/>
    <w:rsid w:val="000F2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DDD"/>
    <w:rPr>
      <w:sz w:val="20"/>
      <w:szCs w:val="20"/>
    </w:rPr>
  </w:style>
  <w:style w:type="character" w:styleId="FootnoteReference">
    <w:name w:val="footnote reference"/>
    <w:basedOn w:val="DefaultParagraphFont"/>
    <w:uiPriority w:val="99"/>
    <w:semiHidden/>
    <w:unhideWhenUsed/>
    <w:rsid w:val="000F2DDD"/>
    <w:rPr>
      <w:vertAlign w:val="superscript"/>
    </w:rPr>
  </w:style>
  <w:style w:type="character" w:customStyle="1" w:styleId="Heading1Char">
    <w:name w:val="Heading 1 Char"/>
    <w:basedOn w:val="DefaultParagraphFont"/>
    <w:link w:val="Heading1"/>
    <w:rsid w:val="00FD1293"/>
    <w:rPr>
      <w:rFonts w:ascii="Times New Roman" w:eastAsia="Times New Roman" w:hAnsi="Times New Roman" w:cs="Times New Roman"/>
      <w:b/>
      <w:sz w:val="24"/>
      <w:szCs w:val="24"/>
      <w:lang w:eastAsia="en-GB"/>
    </w:rPr>
  </w:style>
  <w:style w:type="table" w:styleId="TableGrid">
    <w:name w:val="Table Grid"/>
    <w:basedOn w:val="TableNormal"/>
    <w:uiPriority w:val="39"/>
    <w:rsid w:val="0008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E04"/>
    <w:rPr>
      <w:color w:val="0563C1" w:themeColor="hyperlink"/>
      <w:u w:val="single"/>
    </w:rPr>
  </w:style>
  <w:style w:type="character" w:styleId="UnresolvedMention">
    <w:name w:val="Unresolved Mention"/>
    <w:basedOn w:val="DefaultParagraphFont"/>
    <w:uiPriority w:val="99"/>
    <w:semiHidden/>
    <w:unhideWhenUsed/>
    <w:rsid w:val="00F765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r@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93B6-055F-4BB3-A832-55A56C00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Abdullahi</dc:creator>
  <cp:keywords/>
  <dc:description/>
  <cp:lastModifiedBy>Noman Sharif</cp:lastModifiedBy>
  <cp:revision>15</cp:revision>
  <dcterms:created xsi:type="dcterms:W3CDTF">2018-11-27T08:26:00Z</dcterms:created>
  <dcterms:modified xsi:type="dcterms:W3CDTF">2018-11-28T06:10:00Z</dcterms:modified>
</cp:coreProperties>
</file>