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1442" w14:textId="77777777" w:rsidR="00586531" w:rsidRPr="00366163" w:rsidRDefault="00586531" w:rsidP="00586531">
      <w:pPr>
        <w:widowControl w:val="0"/>
        <w:autoSpaceDE w:val="0"/>
        <w:autoSpaceDN w:val="0"/>
        <w:spacing w:before="25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 w:rsidRPr="0036616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PECIFIC </w:t>
      </w:r>
      <w:r w:rsidRPr="00366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36616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ROCUREMENT </w:t>
      </w:r>
      <w:r w:rsidRPr="00366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36616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OTICE</w:t>
      </w:r>
    </w:p>
    <w:p w14:paraId="67FDDD19" w14:textId="77777777" w:rsidR="00586531" w:rsidRPr="00366163" w:rsidRDefault="00586531" w:rsidP="00586531">
      <w:pPr>
        <w:widowControl w:val="0"/>
        <w:autoSpaceDE w:val="0"/>
        <w:autoSpaceDN w:val="0"/>
        <w:spacing w:before="25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br/>
      </w:r>
      <w:r w:rsidRPr="00366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Invitation for Pre-qualification</w:t>
      </w:r>
    </w:p>
    <w:p w14:paraId="1117FFF9" w14:textId="77777777" w:rsidR="00586531" w:rsidRPr="00366163" w:rsidRDefault="00586531" w:rsidP="00586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</w:p>
    <w:p w14:paraId="60C3AF8C" w14:textId="77777777" w:rsidR="006F36EA" w:rsidRPr="00366163" w:rsidRDefault="006F36EA" w:rsidP="006F36EA">
      <w:pPr>
        <w:widowControl w:val="0"/>
        <w:suppressAutoHyphens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Country: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>The Republic of Uzbekistan</w:t>
      </w:r>
    </w:p>
    <w:p w14:paraId="4E32819F" w14:textId="77777777" w:rsidR="006F36EA" w:rsidRPr="00366163" w:rsidRDefault="006F36EA" w:rsidP="006F36EA">
      <w:pPr>
        <w:widowControl w:val="0"/>
        <w:tabs>
          <w:tab w:val="left" w:pos="6660"/>
        </w:tabs>
        <w:suppressAutoHyphens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b/>
          <w:sz w:val="24"/>
          <w:szCs w:val="24"/>
        </w:rPr>
        <w:t>Name of Project:</w:t>
      </w:r>
      <w:r w:rsidRPr="003661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Reconstruction and Expansion of the Sewerage Systems of </w:t>
      </w:r>
      <w:proofErr w:type="spellStart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Gulistan</w:t>
      </w:r>
      <w:proofErr w:type="spellEnd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Shirin</w:t>
      </w:r>
      <w:proofErr w:type="spellEnd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and </w:t>
      </w:r>
      <w:proofErr w:type="spellStart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Yangiyer</w:t>
      </w:r>
      <w:proofErr w:type="spellEnd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Cities of </w:t>
      </w:r>
      <w:proofErr w:type="spellStart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Syrdarya</w:t>
      </w:r>
      <w:proofErr w:type="spellEnd"/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Region</w:t>
      </w:r>
    </w:p>
    <w:p w14:paraId="02A3A2F5" w14:textId="77777777" w:rsidR="006F36EA" w:rsidRPr="00366163" w:rsidRDefault="006F36EA" w:rsidP="006F36EA">
      <w:pPr>
        <w:widowControl w:val="0"/>
        <w:suppressAutoHyphens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b/>
          <w:sz w:val="24"/>
          <w:szCs w:val="24"/>
        </w:rPr>
        <w:t>Contract Title: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 SSIP/ICB/MC/W-1.1</w:t>
      </w:r>
    </w:p>
    <w:p w14:paraId="5AAF3D96" w14:textId="77777777" w:rsidR="006F36EA" w:rsidRPr="00366163" w:rsidRDefault="006F36EA" w:rsidP="006F36EA">
      <w:pPr>
        <w:suppressAutoHyphens/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Financing Agreement No.: </w:t>
      </w:r>
      <w:r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UZB-0078</w:t>
      </w:r>
    </w:p>
    <w:p w14:paraId="0FDA8042" w14:textId="77777777" w:rsidR="006F36EA" w:rsidRPr="00366163" w:rsidRDefault="006F36EA" w:rsidP="006F36EA">
      <w:pPr>
        <w:widowControl w:val="0"/>
        <w:suppressAutoHyphens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Prequalification Reference No.: </w:t>
      </w:r>
      <w:r w:rsidRPr="0036616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SSIP/IFP/W-1.1</w:t>
      </w:r>
    </w:p>
    <w:p w14:paraId="4C772982" w14:textId="77777777" w:rsidR="00586531" w:rsidRPr="00366163" w:rsidRDefault="00586531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12804FA6" w14:textId="77777777" w:rsidR="00586531" w:rsidRPr="00366163" w:rsidRDefault="00586531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This invitation for prequalification follows the general procurement notice for this project that appeared in </w:t>
      </w:r>
      <w:r w:rsidR="006F36EA" w:rsidRPr="00366163">
        <w:rPr>
          <w:rFonts w:ascii="Times New Roman" w:eastAsia="Times New Roman" w:hAnsi="Times New Roman" w:cs="Times New Roman"/>
          <w:sz w:val="24"/>
          <w:szCs w:val="24"/>
        </w:rPr>
        <w:t>ASHARQ AL-AWSAT</w:t>
      </w:r>
      <w:r w:rsidR="006F36EA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r w:rsidR="006F36EA" w:rsidRPr="00366163">
        <w:rPr>
          <w:rFonts w:ascii="Times New Roman" w:eastAsia="Times New Roman" w:hAnsi="Times New Roman" w:cs="Times New Roman"/>
          <w:sz w:val="24"/>
          <w:szCs w:val="24"/>
        </w:rPr>
        <w:t xml:space="preserve">14069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6F36EA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5 June 2017</w:t>
      </w:r>
      <w:r w:rsidRPr="003661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C4A9A" w14:textId="77777777" w:rsidR="001F2B1E" w:rsidRPr="00366163" w:rsidRDefault="00586531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F36EA" w:rsidRPr="00366163">
        <w:rPr>
          <w:rFonts w:ascii="Times New Roman" w:eastAsia="Times New Roman" w:hAnsi="Times New Roman" w:cs="Times New Roman"/>
          <w:sz w:val="24"/>
          <w:szCs w:val="24"/>
        </w:rPr>
        <w:t xml:space="preserve">Republic of Uzbekistan 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has received</w:t>
      </w:r>
      <w:r w:rsidR="006F36EA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F36EA" w:rsidRPr="00366163">
        <w:rPr>
          <w:rFonts w:ascii="Times New Roman" w:eastAsia="Times New Roman" w:hAnsi="Times New Roman" w:cs="Times New Roman"/>
          <w:sz w:val="24"/>
          <w:szCs w:val="24"/>
        </w:rPr>
        <w:t xml:space="preserve">financing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Islamic Development Bank (ISDB)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toward the cost of the </w:t>
      </w:r>
      <w:r w:rsidR="00282684" w:rsidRPr="0036616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Reconstruction and Expansion of the Sewerage Systems of </w:t>
      </w:r>
      <w:proofErr w:type="spellStart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Gulistan</w:t>
      </w:r>
      <w:proofErr w:type="spellEnd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Shirin</w:t>
      </w:r>
      <w:proofErr w:type="spellEnd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and </w:t>
      </w:r>
      <w:proofErr w:type="spellStart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Yangiyer</w:t>
      </w:r>
      <w:proofErr w:type="spellEnd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Cities of </w:t>
      </w:r>
      <w:proofErr w:type="spellStart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Syrdarya</w:t>
      </w:r>
      <w:proofErr w:type="spellEnd"/>
      <w:r w:rsidR="006F36EA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Region</w:t>
      </w:r>
      <w:r w:rsidR="00282684" w:rsidRPr="00366163">
        <w:rPr>
          <w:rFonts w:ascii="Times New Roman" w:eastAsia="Times New Roman" w:hAnsi="Times New Roman" w:cs="Times New Roman"/>
          <w:spacing w:val="-2"/>
          <w:sz w:val="24"/>
          <w:szCs w:val="24"/>
        </w:rPr>
        <w:t>”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and it intends to apply part of the proceeds of this 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financing</w:t>
      </w:r>
      <w:r w:rsidR="006F36EA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to payments under the </w:t>
      </w:r>
      <w:r w:rsidR="001F2B1E" w:rsidRPr="00366163">
        <w:rPr>
          <w:rFonts w:ascii="Times New Roman" w:eastAsia="Times New Roman" w:hAnsi="Times New Roman" w:cs="Times New Roman"/>
          <w:sz w:val="24"/>
          <w:szCs w:val="24"/>
        </w:rPr>
        <w:t>Package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B1E" w:rsidRPr="00366163">
        <w:rPr>
          <w:rFonts w:ascii="Times New Roman" w:eastAsia="Times New Roman" w:hAnsi="Times New Roman" w:cs="Times New Roman"/>
          <w:sz w:val="24"/>
          <w:szCs w:val="24"/>
        </w:rPr>
        <w:t>No. SSIP/IFP/W-1.1.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Bidding will be governed by the Islamic Development Bank’s eligibility rules and procedures. The SUE “</w:t>
      </w:r>
      <w:proofErr w:type="spellStart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>Suvoqava</w:t>
      </w:r>
      <w:proofErr w:type="spellEnd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” of </w:t>
      </w:r>
      <w:proofErr w:type="spellStart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>Syrdarya</w:t>
      </w:r>
      <w:proofErr w:type="spellEnd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Region intends to prequalify contractors and/or firms for</w:t>
      </w:r>
    </w:p>
    <w:p w14:paraId="3E46D1BC" w14:textId="77777777" w:rsidR="001F2B1E" w:rsidRPr="00366163" w:rsidRDefault="001F2B1E" w:rsidP="001F2B1E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>Lot 1. Reconstruction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and Construction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 of Wastewater Treatment Plants for Gulistan City (</w:t>
      </w:r>
      <w:proofErr w:type="gramStart"/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Contract 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366163">
        <w:rPr>
          <w:rFonts w:ascii="Times New Roman" w:eastAsia="Times New Roman" w:hAnsi="Times New Roman" w:cs="Times New Roman"/>
          <w:sz w:val="24"/>
          <w:szCs w:val="24"/>
        </w:rPr>
        <w:t>. SSIP/ICB/MC/W-1.1-1)</w:t>
      </w:r>
    </w:p>
    <w:p w14:paraId="3DE8E054" w14:textId="77777777" w:rsidR="001F2B1E" w:rsidRPr="00366163" w:rsidRDefault="001F2B1E" w:rsidP="001F2B1E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Lot 2. 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Reconstruction and Construction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of Wastewater Treatment Plants for </w:t>
      </w:r>
      <w:proofErr w:type="spellStart"/>
      <w:r w:rsidRPr="00366163">
        <w:rPr>
          <w:rFonts w:ascii="Times New Roman" w:eastAsia="Times New Roman" w:hAnsi="Times New Roman" w:cs="Times New Roman"/>
          <w:sz w:val="24"/>
          <w:szCs w:val="24"/>
        </w:rPr>
        <w:t>Yangier</w:t>
      </w:r>
      <w:proofErr w:type="spellEnd"/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 City (</w:t>
      </w:r>
      <w:proofErr w:type="gramStart"/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Contract 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366163">
        <w:rPr>
          <w:rFonts w:ascii="Times New Roman" w:eastAsia="Times New Roman" w:hAnsi="Times New Roman" w:cs="Times New Roman"/>
          <w:sz w:val="24"/>
          <w:szCs w:val="24"/>
        </w:rPr>
        <w:t>. SSIP/ICB/MC/W-1.1-2)</w:t>
      </w:r>
    </w:p>
    <w:p w14:paraId="29F2D7D9" w14:textId="77777777" w:rsidR="001F2B1E" w:rsidRPr="00366163" w:rsidRDefault="001F2B1E" w:rsidP="001F2B1E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Lot 3. 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Reconstruction and Construction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>of Wastewater Treatment Plants for Shirin City (</w:t>
      </w:r>
      <w:proofErr w:type="gramStart"/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Contract 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366163">
        <w:rPr>
          <w:rFonts w:ascii="Times New Roman" w:eastAsia="Times New Roman" w:hAnsi="Times New Roman" w:cs="Times New Roman"/>
          <w:sz w:val="24"/>
          <w:szCs w:val="24"/>
        </w:rPr>
        <w:t>. SSIP/ICB/MC/W-1.1-3)</w:t>
      </w:r>
    </w:p>
    <w:p w14:paraId="644F77CC" w14:textId="38012FC6" w:rsidR="00586531" w:rsidRPr="00366163" w:rsidRDefault="00586531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>Prequalification will be conducted through prequalification procedures specified in the Islamic Development Bank’s Guidelines for Procurement of Goods</w:t>
      </w:r>
      <w:r w:rsidR="007F1CF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 Works</w:t>
      </w:r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proofErr w:type="spellStart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>IsDB</w:t>
      </w:r>
      <w:proofErr w:type="spellEnd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Financing,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CF5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F1CF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9 and is open to all bidders </w:t>
      </w:r>
      <w:proofErr w:type="spellStart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>IsDB</w:t>
      </w:r>
      <w:proofErr w:type="spellEnd"/>
      <w:r w:rsidR="00E97838" w:rsidRPr="00366163">
        <w:rPr>
          <w:rFonts w:ascii="Times New Roman" w:eastAsia="Times New Roman" w:hAnsi="Times New Roman" w:cs="Times New Roman"/>
          <w:sz w:val="24"/>
          <w:szCs w:val="24"/>
        </w:rPr>
        <w:t xml:space="preserve"> Member Countries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>, as defined in the guidelines.</w:t>
      </w:r>
    </w:p>
    <w:tbl>
      <w:tblPr>
        <w:tblW w:w="94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3"/>
        <w:gridCol w:w="1648"/>
        <w:gridCol w:w="2109"/>
        <w:gridCol w:w="4264"/>
      </w:tblGrid>
      <w:tr w:rsidR="00366163" w:rsidRPr="00366163" w14:paraId="386DD318" w14:textId="77777777" w:rsidTr="00780FFD">
        <w:trPr>
          <w:trHeight w:val="266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46B0364" w14:textId="736E7C3E" w:rsidR="00366163" w:rsidRPr="00366163" w:rsidRDefault="00366163" w:rsidP="00780FF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36616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>The main qualification requirements</w:t>
            </w:r>
          </w:p>
        </w:tc>
      </w:tr>
      <w:tr w:rsidR="00366163" w:rsidRPr="00366163" w14:paraId="2A63EBB2" w14:textId="77777777" w:rsidTr="00780FFD">
        <w:trPr>
          <w:trHeight w:val="78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6848094C" w14:textId="5350AF39" w:rsidR="00366163" w:rsidRPr="00366163" w:rsidRDefault="00366163" w:rsidP="00780FF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</w:pPr>
            <w:r w:rsidRPr="0036616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Financial Capabilities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2E9990B0" w14:textId="1D0565C8" w:rsidR="00366163" w:rsidRPr="00366163" w:rsidRDefault="00366163" w:rsidP="00366163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Average Annual Construction Turnover</w:t>
            </w:r>
            <w:r w:rsidRPr="00366163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for the last 5 years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54506EE0" w14:textId="758E0558" w:rsidR="00366163" w:rsidRPr="00366163" w:rsidRDefault="00366163" w:rsidP="00366163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Specific Construction Experience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08832660" w14:textId="7B749818" w:rsidR="00366163" w:rsidRPr="00366163" w:rsidRDefault="00366163" w:rsidP="00780FF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Specific Construction Experience by key works</w:t>
            </w:r>
          </w:p>
        </w:tc>
      </w:tr>
      <w:tr w:rsidR="00366163" w:rsidRPr="00366163" w14:paraId="35F3D2D3" w14:textId="77777777" w:rsidTr="00780FFD">
        <w:trPr>
          <w:trHeight w:val="42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655D5B1" w14:textId="5C2763FB" w:rsidR="00366163" w:rsidRPr="00366163" w:rsidRDefault="00366163" w:rsidP="00780FF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Lot 1. Reconstruction and Construction of Wastewater Treatment Plants for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Gulistan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City (</w:t>
            </w:r>
            <w:proofErr w:type="gramStart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Contract  No</w:t>
            </w:r>
            <w:proofErr w:type="gramEnd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SSIP/ICB/MC/W-1.1-1)</w:t>
            </w:r>
          </w:p>
        </w:tc>
      </w:tr>
      <w:tr w:rsidR="00366163" w:rsidRPr="00366163" w14:paraId="7C63495C" w14:textId="77777777" w:rsidTr="00780FFD">
        <w:trPr>
          <w:trHeight w:val="97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5EBB53A" w14:textId="0A3BB677" w:rsidR="00366163" w:rsidRPr="00366163" w:rsidRDefault="00366163" w:rsidP="00780FF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lastRenderedPageBreak/>
              <w:t xml:space="preserve">Not less than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USD 1.400.000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DDA1128" w14:textId="686BD862" w:rsidR="00366163" w:rsidRPr="00366163" w:rsidRDefault="00366163" w:rsidP="00366163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Not less than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 xml:space="preserve">USD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6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5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00.000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1D1042B" w14:textId="112766C2" w:rsidR="00366163" w:rsidRPr="00366163" w:rsidRDefault="00366163" w:rsidP="00780FFD">
            <w:pPr>
              <w:spacing w:afterLines="50" w:after="12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contracts in an aggregate amount of </w:t>
            </w:r>
            <w:r w:rsidRPr="0036616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USD 10,000,000 or 1 contract with an amount of USD7,000,000 (</w:t>
            </w:r>
            <w:r w:rsidRPr="003661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for the last 5 years</w:t>
            </w:r>
            <w:r w:rsidRPr="0036616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A99E140" w14:textId="5DE5D6ED" w:rsidR="00366163" w:rsidRPr="00366163" w:rsidRDefault="00366163" w:rsidP="00780FF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 and equipment supply and installation of at least one (1) biological wastewater treatment plant with a capacity of at least 2</w:t>
            </w:r>
            <w:r w:rsidRPr="00366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,000 m3/day</w:t>
            </w:r>
          </w:p>
        </w:tc>
      </w:tr>
      <w:tr w:rsidR="00366163" w:rsidRPr="00366163" w14:paraId="5B052814" w14:textId="77777777" w:rsidTr="00780FFD">
        <w:trPr>
          <w:trHeight w:val="67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8024B08" w14:textId="3DFE0D44" w:rsidR="00366163" w:rsidRPr="00366163" w:rsidRDefault="00366163" w:rsidP="0036616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Lot 2. Reconstruction and Construction of Wastewater Treatment Plants for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Yangier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City (</w:t>
            </w:r>
            <w:proofErr w:type="gramStart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Contract  No</w:t>
            </w:r>
            <w:proofErr w:type="gramEnd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SSIP/ICB/MC/W-1.1-2)</w:t>
            </w:r>
          </w:p>
        </w:tc>
      </w:tr>
      <w:tr w:rsidR="00366163" w:rsidRPr="00366163" w14:paraId="13D4B032" w14:textId="77777777" w:rsidTr="00780FFD">
        <w:trPr>
          <w:trHeight w:val="97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FDF6D9D" w14:textId="6B7FB959" w:rsidR="00366163" w:rsidRPr="00366163" w:rsidRDefault="00366163" w:rsidP="00366163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Not less than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 xml:space="preserve"> USD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7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00.000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0FCCDE5" w14:textId="50A2F975" w:rsidR="00366163" w:rsidRPr="00366163" w:rsidRDefault="00366163" w:rsidP="00366163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Not less than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 xml:space="preserve">USD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3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3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00.000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7D736ADB" w14:textId="36983449" w:rsidR="00366163" w:rsidRPr="00366163" w:rsidRDefault="00366163" w:rsidP="00366163">
            <w:pPr>
              <w:spacing w:afterLines="50" w:after="12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contracts in an aggregate amount of </w:t>
            </w:r>
            <w:r w:rsidRPr="0036616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USD 5,000,000 or 1 contract with an amount of USD3,500,000 (</w:t>
            </w:r>
            <w:r w:rsidRPr="003661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for the last 5 years</w:t>
            </w:r>
            <w:r w:rsidRPr="0036616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FD75B41" w14:textId="5FDB2216" w:rsidR="00366163" w:rsidRPr="00366163" w:rsidRDefault="00366163" w:rsidP="00780FF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 and equipment supply and installation of at least one (1) biological wastewater treatment plant with a capacity of at least 1</w:t>
            </w:r>
            <w:r w:rsidRPr="00366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,000 m3/day</w:t>
            </w:r>
          </w:p>
        </w:tc>
      </w:tr>
      <w:tr w:rsidR="00366163" w:rsidRPr="00366163" w14:paraId="5AFCA7BD" w14:textId="77777777" w:rsidTr="00780FFD">
        <w:trPr>
          <w:trHeight w:val="55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61783100" w14:textId="642DDF06" w:rsidR="00366163" w:rsidRPr="00366163" w:rsidRDefault="00366163" w:rsidP="0036616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Lot 3. Reconstruction and Construction of Wastewater Treatment Plants for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Shirin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City (</w:t>
            </w:r>
            <w:proofErr w:type="gramStart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Contract  No</w:t>
            </w:r>
            <w:proofErr w:type="gramEnd"/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SSIP/ICB/MC/W-1.1-3)</w:t>
            </w:r>
          </w:p>
        </w:tc>
      </w:tr>
      <w:tr w:rsidR="00366163" w:rsidRPr="00366163" w14:paraId="1CBA0519" w14:textId="77777777" w:rsidTr="00780FFD">
        <w:trPr>
          <w:trHeight w:val="97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29BBD63A" w14:textId="7AE5D8F1" w:rsidR="00366163" w:rsidRPr="00366163" w:rsidRDefault="00366163" w:rsidP="00366163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Not less than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 xml:space="preserve"> USD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6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00.000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E3D383C" w14:textId="160DF006" w:rsidR="00366163" w:rsidRPr="00366163" w:rsidRDefault="00366163" w:rsidP="00366163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Not less than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 xml:space="preserve">USD 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2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6</w:t>
            </w:r>
            <w:r w:rsidRPr="00366163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  <w:t>00.000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4DA31DA7" w14:textId="49BCD910" w:rsidR="00366163" w:rsidRPr="00366163" w:rsidRDefault="00366163" w:rsidP="00366163">
            <w:pPr>
              <w:spacing w:afterLines="50" w:after="12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contracts in an aggregate amount of </w:t>
            </w:r>
            <w:r w:rsidRPr="0036616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USD 4,000,000 or 1 contract with an amount of USD2,500,000 (</w:t>
            </w:r>
            <w:r w:rsidRPr="003661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for the last 5 years</w:t>
            </w:r>
            <w:r w:rsidRPr="0036616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5B570EE" w14:textId="7FC2B8E6" w:rsidR="00366163" w:rsidRPr="00366163" w:rsidRDefault="00366163" w:rsidP="0036616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66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Construction and equipment supply and installation of at least one (1) biological wastewater treatment plant with a capacity of at least 3,200 m3/day</w:t>
            </w:r>
          </w:p>
        </w:tc>
      </w:tr>
    </w:tbl>
    <w:p w14:paraId="28C18DD6" w14:textId="77777777" w:rsidR="00366163" w:rsidRPr="00366163" w:rsidRDefault="00366163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3B063" w14:textId="543FEB55" w:rsidR="00586531" w:rsidRPr="00366163" w:rsidRDefault="00586531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Interested eligible Applicants may obtain further information from and inspect the prequalification document at the </w:t>
      </w:r>
      <w:r w:rsidR="00E97838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Project Management Unit of the Arab Coordination Group financed projects under Agency “</w:t>
      </w:r>
      <w:proofErr w:type="spellStart"/>
      <w:r w:rsidR="00E97838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Kommunkhizmat</w:t>
      </w:r>
      <w:proofErr w:type="spellEnd"/>
      <w:r w:rsidR="00E97838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(address below) from </w:t>
      </w:r>
      <w:r w:rsidR="008F7E2A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09:00 to 17:00 during working days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A complete set of the prequalification document in </w:t>
      </w:r>
      <w:r w:rsidR="008F7E2A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and Russian Languages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may be purchased by interested Applicants on the submission of a written application to the address below and upon payment of a nonrefundable fee of </w:t>
      </w:r>
      <w:r w:rsidR="008F7E2A" w:rsidRPr="00366163">
        <w:rPr>
          <w:rFonts w:ascii="Times New Roman" w:eastAsia="Times New Roman" w:hAnsi="Times New Roman" w:cs="Times New Roman"/>
          <w:sz w:val="24"/>
          <w:szCs w:val="24"/>
        </w:rPr>
        <w:t xml:space="preserve">USD 200 </w:t>
      </w:r>
      <w:r w:rsidR="00085729" w:rsidRPr="00366163">
        <w:rPr>
          <w:rFonts w:ascii="Times New Roman" w:eastAsia="Times New Roman" w:hAnsi="Times New Roman" w:cs="Times New Roman"/>
          <w:sz w:val="24"/>
          <w:szCs w:val="24"/>
        </w:rPr>
        <w:t xml:space="preserve">or equivalent in Uzbek </w:t>
      </w:r>
      <w:proofErr w:type="spellStart"/>
      <w:r w:rsidR="00085729" w:rsidRPr="00366163">
        <w:rPr>
          <w:rFonts w:ascii="Times New Roman" w:eastAsia="Times New Roman" w:hAnsi="Times New Roman" w:cs="Times New Roman"/>
          <w:sz w:val="24"/>
          <w:szCs w:val="24"/>
        </w:rPr>
        <w:t>soums</w:t>
      </w:r>
      <w:proofErr w:type="spellEnd"/>
      <w:r w:rsidR="00085729" w:rsidRPr="00366163">
        <w:rPr>
          <w:rFonts w:ascii="Times New Roman" w:eastAsia="Times New Roman" w:hAnsi="Times New Roman" w:cs="Times New Roman"/>
          <w:sz w:val="24"/>
          <w:szCs w:val="24"/>
        </w:rPr>
        <w:t xml:space="preserve"> at the rate of the Central Bank of the Republic of Uzbekistan on the date of payment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The method of payment will be </w:t>
      </w:r>
      <w:r w:rsidR="00282684"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direct deposit to specified account below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382B9A8" w14:textId="77777777" w:rsidR="00282684" w:rsidRPr="00366163" w:rsidRDefault="00282684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282684" w:rsidRPr="00366163" w14:paraId="65356093" w14:textId="77777777" w:rsidTr="00D53C85">
        <w:trPr>
          <w:trHeight w:val="8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91926E3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For UZS: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4F5CFE6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82684" w:rsidRPr="00366163" w14:paraId="5268F8A6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E62E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Beneficiary: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5970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Arab Coordination Group Projects Management Unit under “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Kommunkhizmat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Agency </w:t>
            </w:r>
          </w:p>
        </w:tc>
      </w:tr>
      <w:tr w:rsidR="00282684" w:rsidRPr="00366163" w14:paraId="6490E67C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E5C7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Address and contact information: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C53B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Niyozbek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Yuli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str., Tashkent 100035, Uzbekistan</w:t>
            </w:r>
          </w:p>
          <w:p w14:paraId="7D593C46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Kommunkhizmat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Agency, room #714</w:t>
            </w:r>
          </w:p>
          <w:p w14:paraId="636A5372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Tel.: (99871) 234-48-55</w:t>
            </w:r>
          </w:p>
          <w:p w14:paraId="01102CBC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Fax: (99871) 234-48-55</w:t>
            </w:r>
          </w:p>
        </w:tc>
      </w:tr>
      <w:tr w:rsidR="00282684" w:rsidRPr="00366163" w14:paraId="0AB1FC63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1A1C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Bank of beneficiary: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7B2A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Joint-Stock Commercial Bank HAMKORBANK                         Tashkent Branch,  </w:t>
            </w:r>
          </w:p>
          <w:p w14:paraId="3E3ECFAD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MFO 00443.</w:t>
            </w:r>
          </w:p>
        </w:tc>
      </w:tr>
      <w:tr w:rsidR="00282684" w:rsidRPr="00366163" w14:paraId="1983E357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21F4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Address of Bank: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6C20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Furkat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street, Uzbekistan, Tashkent.</w:t>
            </w:r>
          </w:p>
        </w:tc>
      </w:tr>
      <w:tr w:rsidR="00282684" w:rsidRPr="00366163" w14:paraId="3A72709E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40AB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Bank account in UZS: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C594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2262 6000 4007 5834 0001</w:t>
            </w: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6E7025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Tax ID: </w:t>
            </w: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304777802</w:t>
            </w: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3CD109D1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ОKED </w:t>
            </w: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84111</w:t>
            </w: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2684" w:rsidRPr="00366163" w14:paraId="7D75EF05" w14:textId="77777777" w:rsidTr="00D53C8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72122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For USD: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EF6FC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82684" w:rsidRPr="00366163" w14:paraId="2C4CAAF3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8BFA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Beneficiary: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C4B8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Arab Coordination Group Projects Management Unit under “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Kommunkhizmat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Agency</w:t>
            </w:r>
          </w:p>
        </w:tc>
      </w:tr>
      <w:tr w:rsidR="00282684" w:rsidRPr="00366163" w14:paraId="125816AB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988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Address and contact information: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944D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Niyozbek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Yuli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str., Tashkent 100035, Uzbekistan</w:t>
            </w:r>
          </w:p>
          <w:p w14:paraId="794902CB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Kommunkhizmat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Agency, room #714</w:t>
            </w:r>
          </w:p>
          <w:p w14:paraId="00FD2821" w14:textId="77777777" w:rsidR="00282684" w:rsidRPr="00366163" w:rsidRDefault="00282684" w:rsidP="00282684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Tel.: (99871) 234-48-55</w:t>
            </w:r>
          </w:p>
          <w:p w14:paraId="0AF92048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Fax: (99871) 234-48-55</w:t>
            </w:r>
          </w:p>
        </w:tc>
      </w:tr>
      <w:tr w:rsidR="00282684" w:rsidRPr="00366163" w14:paraId="7A11BB15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90D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Bank and SWIFT code: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F64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Joint-Stock Commercial Bank HAMKORBANK Tashkent Branch.  SWIFT: KHKKUZ22.</w:t>
            </w:r>
          </w:p>
        </w:tc>
      </w:tr>
      <w:tr w:rsidR="00282684" w:rsidRPr="00366163" w14:paraId="003F2D0A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17D5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Address of Bank: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12E1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Furkat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street, Uzbekistan, Tashkent.</w:t>
            </w:r>
          </w:p>
        </w:tc>
      </w:tr>
      <w:tr w:rsidR="00282684" w:rsidRPr="00366163" w14:paraId="5065731A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904F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Bank </w:t>
            </w:r>
            <w:r w:rsidRPr="0036616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>account</w:t>
            </w: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(USD):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D89A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2262 6840 1007 5834 0001</w:t>
            </w:r>
          </w:p>
        </w:tc>
      </w:tr>
      <w:tr w:rsidR="00282684" w:rsidRPr="00366163" w14:paraId="36268B0B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2B9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Correspondent Bank и SWIFT CODE: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9AB9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Raiffeisen Bank International AG. SWIFT: RZBAATWWXXX.</w:t>
            </w:r>
          </w:p>
        </w:tc>
      </w:tr>
      <w:tr w:rsidR="00282684" w:rsidRPr="00366163" w14:paraId="3D9C4522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4AE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Address of Correspondent Bank: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F68D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 STADTPARK 9, A-1030 VIENNA, </w:t>
            </w:r>
            <w:proofErr w:type="gramStart"/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AUSTRIA.</w:t>
            </w:r>
            <w:proofErr w:type="gramEnd"/>
          </w:p>
        </w:tc>
      </w:tr>
      <w:tr w:rsidR="00282684" w:rsidRPr="00366163" w14:paraId="6AB422F9" w14:textId="77777777" w:rsidTr="00D53C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EEE3" w14:textId="77777777" w:rsidR="00282684" w:rsidRPr="00366163" w:rsidRDefault="00282684" w:rsidP="0028268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IBAN code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4385" w14:textId="77777777" w:rsidR="00282684" w:rsidRPr="00366163" w:rsidRDefault="00282684" w:rsidP="0028268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070-55.069.835</w:t>
            </w:r>
          </w:p>
        </w:tc>
      </w:tr>
      <w:tr w:rsidR="00282684" w:rsidRPr="00366163" w14:paraId="1720A3B5" w14:textId="77777777" w:rsidTr="00282684"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AEAC9C" w14:textId="77777777" w:rsidR="00282684" w:rsidRPr="00366163" w:rsidRDefault="00282684" w:rsidP="00D53C8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z-Cyrl-UZ" w:eastAsia="ru-RU"/>
              </w:rPr>
              <w:t>*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>During the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 xml:space="preserve"> transf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>er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 of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 xml:space="preserve"> payment in U.S. dollars to participate in the </w:t>
            </w:r>
            <w:r w:rsidR="00D53C85"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prequalification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>, the amount must be received in full, ie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>, a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 xml:space="preserve"> bank commission for transfer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>is made by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 xml:space="preserve"> means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of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>"</w:t>
            </w:r>
            <w:r w:rsidR="00D53C85"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>Applicant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 xml:space="preserve">"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>with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 xml:space="preserve"> reference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of 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 xml:space="preserve">"OUR" in the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payment 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z-Cyrl-UZ" w:eastAsia="ru-RU"/>
              </w:rPr>
              <w:t>document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>.</w:t>
            </w:r>
          </w:p>
        </w:tc>
      </w:tr>
    </w:tbl>
    <w:p w14:paraId="5A3511B9" w14:textId="77777777" w:rsidR="00D53C85" w:rsidRPr="00366163" w:rsidRDefault="00D53C85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5BE2C" w14:textId="6E551E67" w:rsidR="00586531" w:rsidRPr="00366163" w:rsidRDefault="00586531" w:rsidP="0058653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Applications for prequalification should be submitted in sealed envelopes, delivered to the address below by </w:t>
      </w:r>
      <w:r w:rsidR="007F1CF5">
        <w:rPr>
          <w:rFonts w:ascii="Times New Roman" w:eastAsia="Times New Roman" w:hAnsi="Times New Roman" w:cs="Times New Roman"/>
          <w:i/>
          <w:iCs/>
          <w:sz w:val="24"/>
          <w:szCs w:val="24"/>
        </w:rPr>
        <w:t>19.10.2019, 15:00 (Tashkent time</w:t>
      </w:r>
      <w:bookmarkStart w:id="0" w:name="_GoBack"/>
      <w:bookmarkEnd w:id="0"/>
      <w:r w:rsidR="007F1C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661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66163">
        <w:rPr>
          <w:rFonts w:ascii="Times New Roman" w:eastAsia="Times New Roman" w:hAnsi="Times New Roman" w:cs="Times New Roman"/>
          <w:sz w:val="24"/>
          <w:szCs w:val="24"/>
        </w:rPr>
        <w:t xml:space="preserve">and be clearly marked “Application to Prequalify for </w:t>
      </w:r>
      <w:r w:rsidRPr="00366163">
        <w:rPr>
          <w:rFonts w:ascii="Times New Roman" w:eastAsia="Times New Roman" w:hAnsi="Times New Roman" w:cs="Times New Roman"/>
          <w:i/>
          <w:iCs/>
          <w:sz w:val="24"/>
          <w:szCs w:val="24"/>
        </w:rPr>
        <w:t>[insert name of project and the contract name(s) and number(s)].”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</w:tblGrid>
      <w:tr w:rsidR="00282684" w:rsidRPr="00366163" w14:paraId="207386C5" w14:textId="77777777" w:rsidTr="00282684">
        <w:tc>
          <w:tcPr>
            <w:tcW w:w="1526" w:type="dxa"/>
            <w:vAlign w:val="center"/>
          </w:tcPr>
          <w:p w14:paraId="2E8D8144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Attention to:</w:t>
            </w:r>
          </w:p>
        </w:tc>
        <w:tc>
          <w:tcPr>
            <w:tcW w:w="4819" w:type="dxa"/>
          </w:tcPr>
          <w:p w14:paraId="05A4DB08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Mr.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Numon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Aminov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Director of ACG PMU under the “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Kommunkhizmat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” Agency</w:t>
            </w:r>
          </w:p>
        </w:tc>
      </w:tr>
      <w:tr w:rsidR="00282684" w:rsidRPr="00366163" w14:paraId="0111C58F" w14:textId="77777777" w:rsidTr="00282684">
        <w:tc>
          <w:tcPr>
            <w:tcW w:w="1526" w:type="dxa"/>
            <w:vAlign w:val="center"/>
          </w:tcPr>
          <w:p w14:paraId="0B05E446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Address:</w:t>
            </w:r>
          </w:p>
        </w:tc>
        <w:tc>
          <w:tcPr>
            <w:tcW w:w="4819" w:type="dxa"/>
          </w:tcPr>
          <w:p w14:paraId="7C130773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1,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Niyozbek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Yuli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str., Tashkent 100035, Uzbekistan, "</w:t>
            </w:r>
            <w:proofErr w:type="spellStart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Kommunkhizmat</w:t>
            </w:r>
            <w:proofErr w:type="spellEnd"/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 Agency, room #714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</w:tc>
      </w:tr>
      <w:tr w:rsidR="00282684" w:rsidRPr="00366163" w14:paraId="45314E27" w14:textId="77777777" w:rsidTr="00282684">
        <w:tc>
          <w:tcPr>
            <w:tcW w:w="1526" w:type="dxa"/>
            <w:vAlign w:val="center"/>
          </w:tcPr>
          <w:p w14:paraId="21D4BF51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Tel.:</w:t>
            </w:r>
          </w:p>
        </w:tc>
        <w:tc>
          <w:tcPr>
            <w:tcW w:w="4819" w:type="dxa"/>
          </w:tcPr>
          <w:p w14:paraId="79BC3B06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(99871) 234-48-55</w:t>
            </w:r>
          </w:p>
        </w:tc>
      </w:tr>
      <w:tr w:rsidR="00282684" w:rsidRPr="00366163" w14:paraId="59C3D9C8" w14:textId="77777777" w:rsidTr="00282684">
        <w:tc>
          <w:tcPr>
            <w:tcW w:w="1526" w:type="dxa"/>
            <w:vAlign w:val="center"/>
          </w:tcPr>
          <w:p w14:paraId="0F8FFEDE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Fax:</w:t>
            </w:r>
          </w:p>
        </w:tc>
        <w:tc>
          <w:tcPr>
            <w:tcW w:w="4819" w:type="dxa"/>
          </w:tcPr>
          <w:p w14:paraId="2231562E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(99871) 234-48-55</w:t>
            </w:r>
          </w:p>
        </w:tc>
      </w:tr>
      <w:tr w:rsidR="00282684" w:rsidRPr="00366163" w14:paraId="7E34F444" w14:textId="77777777" w:rsidTr="00282684">
        <w:tc>
          <w:tcPr>
            <w:tcW w:w="1526" w:type="dxa"/>
            <w:vAlign w:val="center"/>
          </w:tcPr>
          <w:p w14:paraId="4986BAE7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Email:</w:t>
            </w:r>
          </w:p>
        </w:tc>
        <w:tc>
          <w:tcPr>
            <w:tcW w:w="4819" w:type="dxa"/>
          </w:tcPr>
          <w:p w14:paraId="50BD0350" w14:textId="77777777" w:rsidR="00282684" w:rsidRPr="00366163" w:rsidRDefault="00282684" w:rsidP="0028268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apcu.tashkent@gmail.com</w:t>
            </w:r>
            <w:r w:rsidRPr="00366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</w:tc>
      </w:tr>
    </w:tbl>
    <w:p w14:paraId="508BDD99" w14:textId="77777777" w:rsidR="005D112A" w:rsidRPr="00366163" w:rsidRDefault="005D112A" w:rsidP="0028268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12A" w:rsidRPr="00366163" w:rsidSect="00366163">
      <w:headerReference w:type="even" r:id="rId8"/>
      <w:pgSz w:w="12240" w:h="15840"/>
      <w:pgMar w:top="1440" w:right="1440" w:bottom="993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1984E" w14:textId="77777777" w:rsidR="00FB2B56" w:rsidRDefault="00071B64">
      <w:pPr>
        <w:spacing w:after="0" w:line="240" w:lineRule="auto"/>
      </w:pPr>
      <w:r>
        <w:separator/>
      </w:r>
    </w:p>
  </w:endnote>
  <w:endnote w:type="continuationSeparator" w:id="0">
    <w:p w14:paraId="364E378B" w14:textId="77777777" w:rsidR="00FB2B56" w:rsidRDefault="000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10B07" w14:textId="77777777" w:rsidR="00FB2B56" w:rsidRDefault="00071B64">
      <w:pPr>
        <w:spacing w:after="0" w:line="240" w:lineRule="auto"/>
      </w:pPr>
      <w:r>
        <w:separator/>
      </w:r>
    </w:p>
  </w:footnote>
  <w:footnote w:type="continuationSeparator" w:id="0">
    <w:p w14:paraId="6F50658A" w14:textId="77777777" w:rsidR="00FB2B56" w:rsidRDefault="0007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8E71B" w14:textId="77777777" w:rsidR="00FD1A00" w:rsidRPr="0066761D" w:rsidRDefault="00350876" w:rsidP="00F14773">
    <w:pPr>
      <w:pStyle w:val="Header1"/>
      <w:pBdr>
        <w:bottom w:val="single" w:sz="4" w:space="1" w:color="auto"/>
      </w:pBdr>
      <w:tabs>
        <w:tab w:val="center" w:pos="4680"/>
        <w:tab w:val="right" w:pos="9360"/>
        <w:tab w:val="right" w:pos="12960"/>
      </w:tabs>
      <w:spacing w:before="0" w:after="0"/>
      <w:jc w:val="left"/>
      <w:rPr>
        <w:b w:val="0"/>
        <w:bCs w:val="0"/>
        <w:spacing w:val="-2"/>
        <w:sz w:val="20"/>
        <w:szCs w:val="20"/>
      </w:rPr>
    </w:pPr>
    <w:r w:rsidRPr="0084010A">
      <w:rPr>
        <w:rStyle w:val="a5"/>
        <w:b w:val="0"/>
        <w:bCs w:val="0"/>
        <w:spacing w:val="-2"/>
        <w:sz w:val="20"/>
        <w:szCs w:val="20"/>
      </w:rPr>
      <w:fldChar w:fldCharType="begin"/>
    </w:r>
    <w:r w:rsidRPr="0084010A">
      <w:rPr>
        <w:rStyle w:val="a5"/>
        <w:b w:val="0"/>
        <w:bCs w:val="0"/>
        <w:spacing w:val="-2"/>
        <w:sz w:val="20"/>
        <w:szCs w:val="20"/>
      </w:rPr>
      <w:instrText xml:space="preserve"> PAGE </w:instrText>
    </w:r>
    <w:r w:rsidRPr="0084010A">
      <w:rPr>
        <w:rStyle w:val="a5"/>
        <w:b w:val="0"/>
        <w:bCs w:val="0"/>
        <w:spacing w:val="-2"/>
        <w:sz w:val="20"/>
        <w:szCs w:val="20"/>
      </w:rPr>
      <w:fldChar w:fldCharType="separate"/>
    </w:r>
    <w:r>
      <w:rPr>
        <w:rStyle w:val="a5"/>
        <w:b w:val="0"/>
        <w:bCs w:val="0"/>
        <w:noProof/>
        <w:spacing w:val="-2"/>
        <w:sz w:val="20"/>
        <w:szCs w:val="20"/>
      </w:rPr>
      <w:t>52</w:t>
    </w:r>
    <w:r w:rsidRPr="0084010A">
      <w:rPr>
        <w:rStyle w:val="a5"/>
        <w:b w:val="0"/>
        <w:bCs w:val="0"/>
        <w:spacing w:val="-2"/>
        <w:sz w:val="20"/>
        <w:szCs w:val="20"/>
      </w:rPr>
      <w:fldChar w:fldCharType="end"/>
    </w:r>
    <w:r w:rsidRPr="0084010A">
      <w:rPr>
        <w:rStyle w:val="a5"/>
        <w:b w:val="0"/>
        <w:bCs w:val="0"/>
        <w:spacing w:val="-2"/>
        <w:sz w:val="20"/>
        <w:szCs w:val="20"/>
      </w:rPr>
      <w:tab/>
    </w:r>
    <w:r>
      <w:rPr>
        <w:rStyle w:val="a5"/>
        <w:b w:val="0"/>
        <w:bCs w:val="0"/>
        <w:spacing w:val="-2"/>
        <w:sz w:val="20"/>
        <w:szCs w:val="20"/>
      </w:rPr>
      <w:t>User’s Guide</w:t>
    </w:r>
    <w:r>
      <w:rPr>
        <w:rStyle w:val="a5"/>
        <w:b w:val="0"/>
        <w:bCs w:val="0"/>
        <w:spacing w:val="-2"/>
        <w:sz w:val="20"/>
        <w:szCs w:val="20"/>
      </w:rPr>
      <w:tab/>
      <w:t>Invitation for Prequalification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59AB"/>
    <w:multiLevelType w:val="hybridMultilevel"/>
    <w:tmpl w:val="E6607290"/>
    <w:lvl w:ilvl="0" w:tplc="FCB43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31"/>
    <w:rsid w:val="00071B64"/>
    <w:rsid w:val="00085729"/>
    <w:rsid w:val="001F2B1E"/>
    <w:rsid w:val="00282684"/>
    <w:rsid w:val="00350876"/>
    <w:rsid w:val="00366163"/>
    <w:rsid w:val="00586531"/>
    <w:rsid w:val="005D112A"/>
    <w:rsid w:val="006F36EA"/>
    <w:rsid w:val="00737551"/>
    <w:rsid w:val="007F1CF5"/>
    <w:rsid w:val="00877814"/>
    <w:rsid w:val="008F7E2A"/>
    <w:rsid w:val="00A8382B"/>
    <w:rsid w:val="00D53C85"/>
    <w:rsid w:val="00DB6BE5"/>
    <w:rsid w:val="00E97838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B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3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653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6531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a5">
    <w:name w:val="page number"/>
    <w:basedOn w:val="a0"/>
    <w:rsid w:val="00586531"/>
  </w:style>
  <w:style w:type="paragraph" w:customStyle="1" w:styleId="Header1">
    <w:name w:val="Header1"/>
    <w:basedOn w:val="a"/>
    <w:rsid w:val="00586531"/>
    <w:pPr>
      <w:widowControl w:val="0"/>
      <w:autoSpaceDE w:val="0"/>
      <w:autoSpaceDN w:val="0"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bCs/>
      <w:spacing w:val="4"/>
      <w:sz w:val="44"/>
      <w:szCs w:val="46"/>
    </w:rPr>
  </w:style>
  <w:style w:type="paragraph" w:styleId="a6">
    <w:name w:val="List Paragraph"/>
    <w:basedOn w:val="a"/>
    <w:uiPriority w:val="34"/>
    <w:qFormat/>
    <w:rsid w:val="001F2B1E"/>
    <w:pPr>
      <w:ind w:left="720"/>
      <w:contextualSpacing/>
    </w:pPr>
  </w:style>
  <w:style w:type="table" w:styleId="a7">
    <w:name w:val="Table Grid"/>
    <w:basedOn w:val="a1"/>
    <w:uiPriority w:val="39"/>
    <w:rsid w:val="0028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3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55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3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653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6531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a5">
    <w:name w:val="page number"/>
    <w:basedOn w:val="a0"/>
    <w:rsid w:val="00586531"/>
  </w:style>
  <w:style w:type="paragraph" w:customStyle="1" w:styleId="Header1">
    <w:name w:val="Header1"/>
    <w:basedOn w:val="a"/>
    <w:rsid w:val="00586531"/>
    <w:pPr>
      <w:widowControl w:val="0"/>
      <w:autoSpaceDE w:val="0"/>
      <w:autoSpaceDN w:val="0"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bCs/>
      <w:spacing w:val="4"/>
      <w:sz w:val="44"/>
      <w:szCs w:val="46"/>
    </w:rPr>
  </w:style>
  <w:style w:type="paragraph" w:styleId="a6">
    <w:name w:val="List Paragraph"/>
    <w:basedOn w:val="a"/>
    <w:uiPriority w:val="34"/>
    <w:qFormat/>
    <w:rsid w:val="001F2B1E"/>
    <w:pPr>
      <w:ind w:left="720"/>
      <w:contextualSpacing/>
    </w:pPr>
  </w:style>
  <w:style w:type="table" w:styleId="a7">
    <w:name w:val="Table Grid"/>
    <w:basedOn w:val="a1"/>
    <w:uiPriority w:val="39"/>
    <w:rsid w:val="0028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3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55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876</Words>
  <Characters>4996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2019-08-20T11:13:00Z</cp:lastPrinted>
  <dcterms:created xsi:type="dcterms:W3CDTF">2019-08-14T08:10:00Z</dcterms:created>
  <dcterms:modified xsi:type="dcterms:W3CDTF">2019-09-18T12:14:00Z</dcterms:modified>
</cp:coreProperties>
</file>