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67" w:rsidRPr="00F938D9" w:rsidRDefault="00250167" w:rsidP="00F938D9">
      <w:pPr>
        <w:spacing w:after="120"/>
        <w:ind w:right="72"/>
        <w:rPr>
          <w:i/>
          <w:lang w:val="fr-FR"/>
        </w:rPr>
      </w:pPr>
      <w:bookmarkStart w:id="0" w:name="_GoBack"/>
      <w:bookmarkEnd w:id="0"/>
      <w:r>
        <w:rPr>
          <w:lang w:val="fr-FR"/>
        </w:rPr>
        <w:t>(</w:t>
      </w:r>
      <w:r w:rsidRPr="00F938D9">
        <w:rPr>
          <w:i/>
          <w:lang w:val="fr-FR"/>
        </w:rPr>
        <w:t>NOTES – à supprimer du document final</w:t>
      </w:r>
    </w:p>
    <w:p w:rsidR="00250167" w:rsidRPr="00F938D9" w:rsidRDefault="00250167" w:rsidP="00F938D9">
      <w:pPr>
        <w:spacing w:after="120"/>
        <w:ind w:right="72"/>
        <w:jc w:val="both"/>
        <w:rPr>
          <w:i/>
          <w:lang w:val="fr-FR"/>
        </w:rPr>
      </w:pPr>
      <w:r w:rsidRPr="00F938D9">
        <w:rPr>
          <w:i/>
          <w:lang w:val="fr-FR"/>
        </w:rPr>
        <w:t xml:space="preserve">Pour les projets qui comprennent l’AOI, l’AGPM doit être publié sur le portail électronique de la </w:t>
      </w:r>
      <w:proofErr w:type="spellStart"/>
      <w:r w:rsidRPr="00F938D9">
        <w:rPr>
          <w:i/>
          <w:lang w:val="fr-FR"/>
        </w:rPr>
        <w:t>BIsD</w:t>
      </w:r>
      <w:proofErr w:type="spellEnd"/>
      <w:r w:rsidRPr="00F938D9">
        <w:rPr>
          <w:i/>
          <w:lang w:val="fr-FR"/>
        </w:rPr>
        <w:t xml:space="preserve">, sur le portail </w:t>
      </w:r>
      <w:proofErr w:type="spellStart"/>
      <w:r w:rsidRPr="00F938D9">
        <w:rPr>
          <w:bCs/>
          <w:i/>
          <w:color w:val="000000"/>
          <w:lang w:val="fr-FR"/>
        </w:rPr>
        <w:t>Development</w:t>
      </w:r>
      <w:proofErr w:type="spellEnd"/>
      <w:r w:rsidRPr="00F938D9">
        <w:rPr>
          <w:bCs/>
          <w:i/>
          <w:color w:val="000000"/>
          <w:lang w:val="fr-FR"/>
        </w:rPr>
        <w:t xml:space="preserve"> Business de l’ONU (UNDB Online) ou sur </w:t>
      </w:r>
      <w:proofErr w:type="spellStart"/>
      <w:r w:rsidRPr="00F938D9">
        <w:rPr>
          <w:bCs/>
          <w:i/>
          <w:color w:val="000000"/>
          <w:lang w:val="fr-FR"/>
        </w:rPr>
        <w:t>DgMarket</w:t>
      </w:r>
      <w:proofErr w:type="spellEnd"/>
      <w:r w:rsidRPr="00F938D9">
        <w:rPr>
          <w:bCs/>
          <w:i/>
          <w:color w:val="000000"/>
          <w:lang w:val="fr-FR"/>
        </w:rPr>
        <w:t xml:space="preserve"> car il est exigé que l’AGPM fasse l’objet d’une publicité internationale</w:t>
      </w:r>
      <w:r w:rsidRPr="00F938D9">
        <w:rPr>
          <w:i/>
          <w:lang w:val="fr-FR"/>
        </w:rPr>
        <w:t xml:space="preserve">.  Ceci est en complément de la publicité sur le portail électronique du Gouvernement du Bénéficiaire et, lorsque cela est disponible, l’AGPM doit être publié dans d’autres médias internationaux appropriés, publiquement accessibles et de large distribution. Pour les projets qui comprennent l’AOI/PM, en complément aux dispositions de publicité ci-avant, l’AGPM peut aussi être adressé aux ambassades, aux consulats et aux représentants locaux des PM de la </w:t>
      </w:r>
      <w:proofErr w:type="spellStart"/>
      <w:r w:rsidRPr="00F938D9">
        <w:rPr>
          <w:i/>
          <w:lang w:val="fr-FR"/>
        </w:rPr>
        <w:t>BIsD</w:t>
      </w:r>
      <w:proofErr w:type="spellEnd"/>
      <w:r w:rsidRPr="00F938D9">
        <w:rPr>
          <w:i/>
          <w:lang w:val="fr-FR"/>
        </w:rPr>
        <w:t>.</w:t>
      </w:r>
    </w:p>
    <w:p w:rsidR="00250167" w:rsidRPr="00F938D9" w:rsidRDefault="00250167" w:rsidP="00F938D9">
      <w:pPr>
        <w:spacing w:after="120"/>
        <w:ind w:right="72"/>
        <w:jc w:val="both"/>
        <w:rPr>
          <w:i/>
          <w:color w:val="000000"/>
          <w:lang w:val="fr-FR"/>
        </w:rPr>
      </w:pPr>
      <w:r w:rsidRPr="00F938D9">
        <w:rPr>
          <w:i/>
          <w:color w:val="000000"/>
          <w:lang w:val="fr-FR"/>
        </w:rPr>
        <w:t xml:space="preserve">Lors du choix des moyens de publicité, il est important de prendre en considération le caractère international de la </w:t>
      </w:r>
      <w:proofErr w:type="spellStart"/>
      <w:r w:rsidRPr="00F938D9">
        <w:rPr>
          <w:i/>
          <w:color w:val="000000"/>
          <w:lang w:val="fr-FR"/>
        </w:rPr>
        <w:t>BIsD</w:t>
      </w:r>
      <w:proofErr w:type="spellEnd"/>
      <w:r w:rsidRPr="00F938D9">
        <w:rPr>
          <w:i/>
          <w:color w:val="000000"/>
          <w:lang w:val="fr-FR"/>
        </w:rPr>
        <w:t xml:space="preserve"> et les médias d’information devront être, au minimum, dans une (1) des trois (3) langues de travail de la </w:t>
      </w:r>
      <w:proofErr w:type="spellStart"/>
      <w:r w:rsidRPr="00F938D9">
        <w:rPr>
          <w:i/>
          <w:color w:val="000000"/>
          <w:lang w:val="fr-FR"/>
        </w:rPr>
        <w:t>BIsD</w:t>
      </w:r>
      <w:proofErr w:type="spellEnd"/>
      <w:r w:rsidRPr="00F938D9">
        <w:rPr>
          <w:i/>
          <w:color w:val="000000"/>
          <w:lang w:val="fr-FR"/>
        </w:rPr>
        <w:t xml:space="preserve"> (l’arabe, l’anglais ou le français), de manière à assurer une concurrence maximale.  Dans le but d’améliorer la concurrence, la </w:t>
      </w:r>
      <w:proofErr w:type="spellStart"/>
      <w:r w:rsidRPr="00F938D9">
        <w:rPr>
          <w:i/>
          <w:color w:val="000000"/>
          <w:lang w:val="fr-FR"/>
        </w:rPr>
        <w:t>BIsD</w:t>
      </w:r>
      <w:proofErr w:type="spellEnd"/>
      <w:r w:rsidRPr="00F938D9">
        <w:rPr>
          <w:i/>
          <w:color w:val="000000"/>
          <w:lang w:val="fr-FR"/>
        </w:rPr>
        <w:t xml:space="preserve"> pourra demander que la publication soit effectuée dans d’autres langues.</w:t>
      </w:r>
    </w:p>
    <w:p w:rsidR="00250167" w:rsidRPr="00F938D9" w:rsidRDefault="00250167" w:rsidP="00F938D9">
      <w:pPr>
        <w:spacing w:after="120"/>
        <w:ind w:right="72"/>
        <w:jc w:val="both"/>
        <w:rPr>
          <w:i/>
          <w:lang w:val="fr-FR"/>
        </w:rPr>
      </w:pPr>
      <w:r w:rsidRPr="00F938D9">
        <w:rPr>
          <w:i/>
          <w:lang w:val="fr-FR"/>
        </w:rPr>
        <w:t>L’AGPM doit contenir des informations sur l’objet et l’étendue du projet, et des acquisitions de Biens, Travaux et services connexes, et des missions de Consultants prévues.</w:t>
      </w:r>
    </w:p>
    <w:p w:rsidR="00531E04" w:rsidRPr="00F938D9" w:rsidRDefault="00250167" w:rsidP="00F938D9">
      <w:pPr>
        <w:spacing w:after="120"/>
        <w:ind w:right="72"/>
        <w:jc w:val="both"/>
        <w:rPr>
          <w:i/>
          <w:lang w:val="fr-FR"/>
        </w:rPr>
      </w:pPr>
      <w:r w:rsidRPr="00F938D9">
        <w:rPr>
          <w:i/>
          <w:lang w:val="fr-FR"/>
        </w:rPr>
        <w:t>Par la suite, afin de permettre aux candidats/Soumissionnaires potentiels d’obtenir les Documents de Passation de Marché et de présenter leur candidature en vue de pré-qualification ou leur Soumission, le Bénéficiaire devra émettre un Avis Spécifique de Passation des Marchés (ASPM) pour les acquisitions de biens ou travaux, ou un Appel à Manifestations d’Intérêt (AMI) pour la sélection de Consultants, afin de publier les invitations à soumissionner ou à soumettre des propositions, lorsque les acquisitions</w:t>
      </w:r>
      <w:r w:rsidR="00531E04" w:rsidRPr="00F938D9">
        <w:rPr>
          <w:i/>
          <w:lang w:val="fr-FR"/>
        </w:rPr>
        <w:t xml:space="preserve"> correspondantes sont initiées, </w:t>
      </w:r>
      <w:r w:rsidRPr="00F938D9">
        <w:rPr>
          <w:i/>
          <w:lang w:val="fr-FR"/>
        </w:rPr>
        <w:t xml:space="preserve">pour les candidats/Soumissionnaires intéressés, de la même manière que décrite pour l’AGPM. Le Bénéficiaire peut aussi publier l’avis dans des magazines techniques réputés, des journaux et publications commerciales de large distribution internationale.   L’ASPM devra indiquer l’endroit où le dossier d’appel d’offres peut être obtenu et fournir des informations détaillées sur la portée des Biens, Travaux et/ou services connexes à fournir et sur la période où ils doivent être fournis. En outre, l’ASPM devra être adressé aux ambassades, aux consulats et aux représentants locaux des PM de la </w:t>
      </w:r>
      <w:proofErr w:type="spellStart"/>
      <w:r w:rsidRPr="00F938D9">
        <w:rPr>
          <w:i/>
          <w:lang w:val="fr-FR"/>
        </w:rPr>
        <w:t>BIsD</w:t>
      </w:r>
      <w:proofErr w:type="spellEnd"/>
      <w:r w:rsidR="00531E04" w:rsidRPr="00F938D9">
        <w:rPr>
          <w:i/>
          <w:lang w:val="fr-FR"/>
        </w:rPr>
        <w:t>.</w:t>
      </w:r>
    </w:p>
    <w:p w:rsidR="00531E04" w:rsidRPr="00F938D9" w:rsidRDefault="00531E04" w:rsidP="00F938D9">
      <w:pPr>
        <w:spacing w:after="120"/>
        <w:ind w:right="72"/>
        <w:jc w:val="both"/>
        <w:rPr>
          <w:i/>
          <w:lang w:val="fr-FR"/>
        </w:rPr>
      </w:pPr>
      <w:r w:rsidRPr="00F938D9">
        <w:rPr>
          <w:i/>
          <w:lang w:val="fr-FR"/>
        </w:rPr>
        <w:t xml:space="preserve">Dans le cas de listes restreintes de Consultants Internationaux et de listes restreintes de Consultants de PM, l’AMI doit être publié sur le portail électronique de la </w:t>
      </w:r>
      <w:proofErr w:type="spellStart"/>
      <w:r w:rsidRPr="00F938D9">
        <w:rPr>
          <w:i/>
          <w:lang w:val="fr-FR"/>
        </w:rPr>
        <w:t>BIsD</w:t>
      </w:r>
      <w:proofErr w:type="spellEnd"/>
      <w:r w:rsidRPr="00F938D9">
        <w:rPr>
          <w:i/>
          <w:lang w:val="fr-FR"/>
        </w:rPr>
        <w:t xml:space="preserve">, et sur le portail </w:t>
      </w:r>
      <w:proofErr w:type="spellStart"/>
      <w:r w:rsidRPr="00F938D9">
        <w:rPr>
          <w:i/>
          <w:lang w:val="fr-FR"/>
        </w:rPr>
        <w:t>Development</w:t>
      </w:r>
      <w:proofErr w:type="spellEnd"/>
      <w:r w:rsidRPr="00F938D9">
        <w:rPr>
          <w:i/>
          <w:lang w:val="fr-FR"/>
        </w:rPr>
        <w:t xml:space="preserve"> Business de l’ONU (UNDB Online) ou sur </w:t>
      </w:r>
      <w:proofErr w:type="spellStart"/>
      <w:r w:rsidRPr="00F938D9">
        <w:rPr>
          <w:i/>
          <w:lang w:val="fr-FR"/>
        </w:rPr>
        <w:t>DgMarket</w:t>
      </w:r>
      <w:proofErr w:type="spellEnd"/>
      <w:r w:rsidRPr="00F938D9">
        <w:rPr>
          <w:i/>
          <w:lang w:val="fr-FR"/>
        </w:rPr>
        <w:t xml:space="preserve"> et dans au minimum un journal de distribution au plan national dans le pays du Bénéficiaire ; et </w:t>
      </w:r>
    </w:p>
    <w:p w:rsidR="00531E04" w:rsidRPr="00F938D9" w:rsidRDefault="00531E04" w:rsidP="00F938D9">
      <w:pPr>
        <w:spacing w:after="120"/>
        <w:ind w:right="72"/>
        <w:jc w:val="both"/>
        <w:rPr>
          <w:i/>
          <w:lang w:val="fr-FR"/>
        </w:rPr>
      </w:pPr>
      <w:r w:rsidRPr="00F938D9">
        <w:rPr>
          <w:i/>
          <w:lang w:val="fr-FR"/>
        </w:rPr>
        <w:t>Dans le cas de listes restreintes de Consultants nationaux, l’AMI doit être publié sur le portail électronique du Bénéficiaire et, lorsque c’est disponible, dans d’autres médias appropriés, publiquement accessibles et de large distribution dans le pays du Bénéficiaire.)</w:t>
      </w:r>
    </w:p>
    <w:p w:rsidR="00517E16" w:rsidRDefault="00517E16">
      <w:pPr>
        <w:rPr>
          <w:rFonts w:ascii="CG Times" w:hAnsi="CG Times"/>
          <w:b/>
          <w:lang w:val="fr-FR"/>
        </w:rPr>
      </w:pPr>
      <w:r>
        <w:rPr>
          <w:rFonts w:ascii="CG Times" w:hAnsi="CG Times"/>
          <w:b/>
          <w:lang w:val="fr-FR"/>
        </w:rPr>
        <w:br w:type="page"/>
      </w:r>
    </w:p>
    <w:p w:rsidR="00250167" w:rsidRDefault="00250167">
      <w:pPr>
        <w:ind w:right="72"/>
        <w:jc w:val="center"/>
        <w:rPr>
          <w:rFonts w:ascii="CG Times" w:hAnsi="CG Times"/>
          <w:b/>
          <w:lang w:val="fr-FR"/>
        </w:rPr>
      </w:pPr>
    </w:p>
    <w:p w:rsidR="00C30C3D" w:rsidRPr="00517E16" w:rsidRDefault="00C30C3D">
      <w:pPr>
        <w:ind w:right="72"/>
        <w:jc w:val="center"/>
        <w:rPr>
          <w:rFonts w:ascii="CG Times" w:hAnsi="CG Times"/>
          <w:sz w:val="28"/>
          <w:szCs w:val="28"/>
          <w:lang w:val="fr-FR"/>
        </w:rPr>
      </w:pPr>
      <w:r w:rsidRPr="00517E16">
        <w:rPr>
          <w:rFonts w:ascii="CG Times" w:hAnsi="CG Times"/>
          <w:b/>
          <w:sz w:val="28"/>
          <w:szCs w:val="28"/>
          <w:lang w:val="fr-FR"/>
        </w:rPr>
        <w:t>AVIS GENERAL DE PASSATION DES MARCHES</w:t>
      </w:r>
      <w:r w:rsidR="00D4629B" w:rsidRPr="00517E16">
        <w:rPr>
          <w:rFonts w:ascii="CG Times" w:hAnsi="CG Times"/>
          <w:b/>
          <w:sz w:val="28"/>
          <w:szCs w:val="28"/>
          <w:lang w:val="fr-FR"/>
        </w:rPr>
        <w:t xml:space="preserve"> (AGPM)</w:t>
      </w:r>
    </w:p>
    <w:p w:rsidR="00C30C3D" w:rsidRDefault="00C30C3D">
      <w:pPr>
        <w:ind w:right="72"/>
        <w:rPr>
          <w:rFonts w:ascii="CG Times" w:hAnsi="CG Times"/>
          <w:lang w:val="fr-FR"/>
        </w:rPr>
      </w:pPr>
    </w:p>
    <w:p w:rsidR="00C30C3D" w:rsidRDefault="00D4629B" w:rsidP="00AA4BB7">
      <w:pPr>
        <w:ind w:right="72"/>
        <w:rPr>
          <w:rFonts w:ascii="CG Times" w:hAnsi="CG Times"/>
          <w:iCs/>
          <w:lang w:val="fr-FR"/>
        </w:rPr>
      </w:pPr>
      <w:r>
        <w:rPr>
          <w:rFonts w:ascii="CG Times" w:hAnsi="CG Times"/>
          <w:iCs/>
          <w:lang w:val="fr-FR"/>
        </w:rPr>
        <w:t>[</w:t>
      </w:r>
      <w:proofErr w:type="gramStart"/>
      <w:r w:rsidR="00531E04">
        <w:rPr>
          <w:rFonts w:ascii="CG Times" w:hAnsi="CG Times"/>
          <w:iCs/>
          <w:lang w:val="fr-FR"/>
        </w:rPr>
        <w:t>insérer</w:t>
      </w:r>
      <w:proofErr w:type="gramEnd"/>
      <w:r w:rsidR="00531E04">
        <w:rPr>
          <w:rFonts w:ascii="CG Times" w:hAnsi="CG Times"/>
          <w:iCs/>
          <w:lang w:val="fr-FR"/>
        </w:rPr>
        <w:t xml:space="preserve"> : </w:t>
      </w:r>
      <w:r>
        <w:rPr>
          <w:rFonts w:ascii="CG Times" w:hAnsi="CG Times"/>
          <w:i/>
          <w:lang w:val="fr-FR"/>
        </w:rPr>
        <w:t>Nom du Pays</w:t>
      </w:r>
      <w:r>
        <w:rPr>
          <w:rFonts w:ascii="CG Times" w:hAnsi="CG Times"/>
          <w:iCs/>
          <w:lang w:val="fr-FR"/>
        </w:rPr>
        <w:t>]</w:t>
      </w:r>
    </w:p>
    <w:p w:rsidR="00C30C3D" w:rsidRDefault="00D4629B" w:rsidP="00AA4BB7">
      <w:pPr>
        <w:ind w:right="72"/>
        <w:rPr>
          <w:rFonts w:ascii="CG Times" w:hAnsi="CG Times"/>
          <w:i/>
          <w:lang w:val="fr-FR"/>
        </w:rPr>
      </w:pPr>
      <w:r>
        <w:rPr>
          <w:rFonts w:ascii="CG Times" w:hAnsi="CG Times"/>
          <w:i/>
          <w:lang w:val="fr-FR"/>
        </w:rPr>
        <w:t>[</w:t>
      </w:r>
      <w:proofErr w:type="gramStart"/>
      <w:r w:rsidR="00531E04">
        <w:rPr>
          <w:rFonts w:ascii="CG Times" w:hAnsi="CG Times"/>
          <w:iCs/>
          <w:lang w:val="fr-FR"/>
        </w:rPr>
        <w:t>insérer</w:t>
      </w:r>
      <w:proofErr w:type="gramEnd"/>
      <w:r w:rsidR="00531E04">
        <w:rPr>
          <w:rFonts w:ascii="CG Times" w:hAnsi="CG Times"/>
          <w:iCs/>
          <w:lang w:val="fr-FR"/>
        </w:rPr>
        <w:t> :</w:t>
      </w:r>
      <w:r>
        <w:rPr>
          <w:rFonts w:ascii="CG Times" w:hAnsi="CG Times"/>
          <w:i/>
          <w:lang w:val="fr-FR"/>
        </w:rPr>
        <w:t>Nom du Projet]</w:t>
      </w:r>
    </w:p>
    <w:p w:rsidR="00C30C3D" w:rsidRPr="00517E16" w:rsidRDefault="00C30C3D" w:rsidP="00517E16">
      <w:pPr>
        <w:ind w:right="72"/>
        <w:rPr>
          <w:rFonts w:ascii="CG Times" w:hAnsi="CG Times"/>
          <w:iCs/>
          <w:lang w:val="fr-FR"/>
        </w:rPr>
      </w:pPr>
      <w:r w:rsidRPr="00517E16">
        <w:rPr>
          <w:rFonts w:ascii="CG Times" w:hAnsi="CG Times"/>
          <w:iCs/>
          <w:lang w:val="fr-FR"/>
        </w:rPr>
        <w:t>[</w:t>
      </w:r>
      <w:proofErr w:type="gramStart"/>
      <w:r w:rsidR="00531E04">
        <w:rPr>
          <w:rFonts w:ascii="CG Times" w:hAnsi="CG Times"/>
          <w:iCs/>
          <w:lang w:val="fr-FR"/>
        </w:rPr>
        <w:t>insérer</w:t>
      </w:r>
      <w:proofErr w:type="gramEnd"/>
      <w:r w:rsidR="00531E04">
        <w:rPr>
          <w:rFonts w:ascii="CG Times" w:hAnsi="CG Times"/>
          <w:iCs/>
          <w:lang w:val="fr-FR"/>
        </w:rPr>
        <w:t> :</w:t>
      </w:r>
      <w:r w:rsidR="00531E04" w:rsidRPr="00517E16">
        <w:rPr>
          <w:rFonts w:ascii="CG Times" w:hAnsi="CG Times"/>
          <w:iCs/>
          <w:lang w:val="fr-FR"/>
        </w:rPr>
        <w:t>Secteur</w:t>
      </w:r>
      <w:r w:rsidRPr="00517E16">
        <w:rPr>
          <w:rFonts w:ascii="CG Times" w:hAnsi="CG Times"/>
          <w:iCs/>
          <w:lang w:val="fr-FR"/>
        </w:rPr>
        <w:t>]</w:t>
      </w:r>
    </w:p>
    <w:p w:rsidR="00517E16" w:rsidRPr="00517E16" w:rsidRDefault="00517E16" w:rsidP="00517E16">
      <w:pPr>
        <w:ind w:right="72"/>
        <w:rPr>
          <w:rFonts w:ascii="CG Times" w:hAnsi="CG Times"/>
          <w:iCs/>
          <w:lang w:val="fr-FR"/>
        </w:rPr>
      </w:pPr>
      <w:r w:rsidRPr="00517E16">
        <w:rPr>
          <w:rFonts w:ascii="CG Times" w:hAnsi="CG Times"/>
          <w:iCs/>
          <w:lang w:val="fr-FR"/>
        </w:rPr>
        <w:t>[</w:t>
      </w:r>
      <w:proofErr w:type="gramStart"/>
      <w:r>
        <w:rPr>
          <w:rFonts w:ascii="CG Times" w:hAnsi="CG Times"/>
          <w:iCs/>
          <w:lang w:val="fr-FR"/>
        </w:rPr>
        <w:t>insérer</w:t>
      </w:r>
      <w:proofErr w:type="gramEnd"/>
      <w:r>
        <w:rPr>
          <w:rFonts w:ascii="CG Times" w:hAnsi="CG Times"/>
          <w:iCs/>
          <w:lang w:val="fr-FR"/>
        </w:rPr>
        <w:t> :</w:t>
      </w:r>
      <w:r w:rsidRPr="00517E16">
        <w:rPr>
          <w:rFonts w:ascii="CG Times" w:hAnsi="CG Times"/>
          <w:iCs/>
          <w:lang w:val="fr-FR"/>
        </w:rPr>
        <w:t>Mode de financement]</w:t>
      </w:r>
    </w:p>
    <w:p w:rsidR="00517E16" w:rsidRPr="00517E16" w:rsidRDefault="00517E16" w:rsidP="00517E16">
      <w:pPr>
        <w:ind w:right="72"/>
        <w:rPr>
          <w:rFonts w:ascii="CG Times" w:hAnsi="CG Times"/>
          <w:iCs/>
          <w:lang w:val="fr-FR"/>
        </w:rPr>
      </w:pPr>
      <w:r w:rsidRPr="00517E16">
        <w:rPr>
          <w:rFonts w:ascii="CG Times" w:hAnsi="CG Times"/>
          <w:iCs/>
          <w:lang w:val="fr-FR"/>
        </w:rPr>
        <w:t>[</w:t>
      </w:r>
      <w:proofErr w:type="gramStart"/>
      <w:r>
        <w:rPr>
          <w:rFonts w:ascii="CG Times" w:hAnsi="CG Times"/>
          <w:iCs/>
          <w:lang w:val="fr-FR"/>
        </w:rPr>
        <w:t>insérer</w:t>
      </w:r>
      <w:proofErr w:type="gramEnd"/>
      <w:r>
        <w:rPr>
          <w:rFonts w:ascii="CG Times" w:hAnsi="CG Times"/>
          <w:iCs/>
          <w:lang w:val="fr-FR"/>
        </w:rPr>
        <w:t> :</w:t>
      </w:r>
      <w:r w:rsidRPr="00517E16">
        <w:rPr>
          <w:rFonts w:ascii="CG Times" w:hAnsi="CG Times"/>
          <w:iCs/>
          <w:lang w:val="fr-FR"/>
        </w:rPr>
        <w:t>No du Financement]</w:t>
      </w:r>
    </w:p>
    <w:p w:rsidR="00517E16" w:rsidRDefault="00517E16" w:rsidP="00AA4BB7">
      <w:pPr>
        <w:spacing w:after="120"/>
        <w:ind w:right="72"/>
        <w:rPr>
          <w:rFonts w:ascii="CG Times" w:hAnsi="CG Times"/>
          <w:lang w:val="fr-FR"/>
        </w:rPr>
      </w:pPr>
    </w:p>
    <w:p w:rsidR="001C075F" w:rsidRPr="00F938D9" w:rsidRDefault="00C30C3D" w:rsidP="002E774C">
      <w:pPr>
        <w:spacing w:after="120"/>
        <w:ind w:right="72"/>
        <w:jc w:val="both"/>
        <w:rPr>
          <w:i/>
          <w:iCs/>
          <w:lang w:val="fr-FR"/>
        </w:rPr>
      </w:pPr>
      <w:r>
        <w:rPr>
          <w:rFonts w:ascii="CG Times" w:hAnsi="CG Times"/>
          <w:lang w:val="fr-FR"/>
        </w:rPr>
        <w:t>[</w:t>
      </w:r>
      <w:r w:rsidR="00D4629B">
        <w:rPr>
          <w:rFonts w:ascii="CG Times" w:hAnsi="CG Times"/>
          <w:i/>
          <w:lang w:val="fr-FR"/>
        </w:rPr>
        <w:t>I</w:t>
      </w:r>
      <w:r>
        <w:rPr>
          <w:rFonts w:ascii="CG Times" w:hAnsi="CG Times"/>
          <w:i/>
          <w:lang w:val="fr-FR"/>
        </w:rPr>
        <w:t xml:space="preserve">nsérer le nom </w:t>
      </w:r>
      <w:r w:rsidR="00D4629B">
        <w:rPr>
          <w:rFonts w:ascii="CG Times" w:hAnsi="CG Times"/>
          <w:i/>
          <w:lang w:val="fr-FR"/>
        </w:rPr>
        <w:t xml:space="preserve">du </w:t>
      </w:r>
      <w:r w:rsidR="00531E04">
        <w:rPr>
          <w:rFonts w:ascii="CG Times" w:hAnsi="CG Times"/>
          <w:i/>
          <w:lang w:val="fr-FR"/>
        </w:rPr>
        <w:t>Bénéficiaire</w:t>
      </w:r>
      <w:r>
        <w:rPr>
          <w:rFonts w:ascii="CG Times" w:hAnsi="CG Times"/>
          <w:lang w:val="fr-FR"/>
        </w:rPr>
        <w:t xml:space="preserve">] </w:t>
      </w:r>
      <w:r w:rsidRPr="00D4629B">
        <w:rPr>
          <w:rFonts w:ascii="CG Times" w:hAnsi="CG Times"/>
          <w:lang w:val="fr-FR"/>
        </w:rPr>
        <w:t>a obtenu</w:t>
      </w:r>
      <w:r w:rsidR="00531E04">
        <w:rPr>
          <w:rFonts w:ascii="CG Times" w:hAnsi="CG Times"/>
          <w:lang w:val="fr-FR"/>
        </w:rPr>
        <w:t xml:space="preserve"> [ou a sollicité]</w:t>
      </w:r>
      <w:r>
        <w:rPr>
          <w:rFonts w:ascii="CG Times" w:hAnsi="CG Times"/>
          <w:lang w:val="fr-FR"/>
        </w:rPr>
        <w:t xml:space="preserve"> </w:t>
      </w:r>
      <w:r w:rsidR="00D4629B">
        <w:rPr>
          <w:rFonts w:ascii="CG Times" w:hAnsi="CG Times"/>
          <w:lang w:val="fr-FR"/>
        </w:rPr>
        <w:t xml:space="preserve">un </w:t>
      </w:r>
      <w:r w:rsidR="00531E04">
        <w:rPr>
          <w:rFonts w:ascii="CG Times" w:hAnsi="CG Times"/>
          <w:lang w:val="fr-FR"/>
        </w:rPr>
        <w:t xml:space="preserve">financement de </w:t>
      </w:r>
      <w:r w:rsidR="00D4629B">
        <w:rPr>
          <w:rFonts w:ascii="CG Times" w:hAnsi="CG Times"/>
          <w:lang w:val="fr-FR"/>
        </w:rPr>
        <w:t>montant [</w:t>
      </w:r>
      <w:r w:rsidR="00D4629B" w:rsidRPr="00D4629B">
        <w:rPr>
          <w:rFonts w:ascii="CG Times" w:hAnsi="CG Times"/>
          <w:i/>
          <w:lang w:val="fr-FR"/>
        </w:rPr>
        <w:t>insérer montant</w:t>
      </w:r>
      <w:r w:rsidR="00531E04">
        <w:rPr>
          <w:rFonts w:ascii="CG Times" w:hAnsi="CG Times"/>
          <w:i/>
          <w:lang w:val="fr-FR"/>
        </w:rPr>
        <w:t xml:space="preserve"> et la monnaie</w:t>
      </w:r>
      <w:r w:rsidR="00D4629B">
        <w:rPr>
          <w:rFonts w:ascii="CG Times" w:hAnsi="CG Times"/>
          <w:lang w:val="fr-FR"/>
        </w:rPr>
        <w:t>] sous la forme de [</w:t>
      </w:r>
      <w:r w:rsidR="00D4629B" w:rsidRPr="00D4629B">
        <w:rPr>
          <w:rFonts w:ascii="CG Times" w:hAnsi="CG Times"/>
          <w:i/>
          <w:lang w:val="fr-FR"/>
        </w:rPr>
        <w:t xml:space="preserve">insérer le mode </w:t>
      </w:r>
      <w:r w:rsidRPr="00D4629B">
        <w:rPr>
          <w:rFonts w:ascii="CG Times" w:hAnsi="CG Times"/>
          <w:i/>
          <w:lang w:val="fr-FR"/>
        </w:rPr>
        <w:t>financement</w:t>
      </w:r>
      <w:r w:rsidR="00D4629B">
        <w:rPr>
          <w:rFonts w:ascii="CG Times" w:hAnsi="CG Times"/>
          <w:lang w:val="fr-FR"/>
        </w:rPr>
        <w:t>]</w:t>
      </w:r>
      <w:r>
        <w:rPr>
          <w:rFonts w:ascii="CG Times" w:hAnsi="CG Times"/>
          <w:lang w:val="fr-FR"/>
        </w:rPr>
        <w:t xml:space="preserve"> de la Banque </w:t>
      </w:r>
      <w:r w:rsidR="00D4629B">
        <w:rPr>
          <w:rFonts w:ascii="CG Times" w:hAnsi="CG Times"/>
          <w:lang w:val="fr-FR"/>
        </w:rPr>
        <w:t xml:space="preserve">Islamique de Développement </w:t>
      </w:r>
      <w:r>
        <w:rPr>
          <w:rFonts w:ascii="CG Times" w:hAnsi="CG Times"/>
          <w:lang w:val="fr-FR"/>
        </w:rPr>
        <w:t>pour financer le [</w:t>
      </w:r>
      <w:r>
        <w:rPr>
          <w:rFonts w:ascii="CG Times" w:hAnsi="CG Times"/>
          <w:i/>
          <w:lang w:val="fr-FR"/>
        </w:rPr>
        <w:t>insérer le nom du projet</w:t>
      </w:r>
      <w:r>
        <w:rPr>
          <w:rFonts w:ascii="CG Times" w:hAnsi="CG Times"/>
          <w:lang w:val="fr-FR"/>
        </w:rPr>
        <w:t>]</w:t>
      </w:r>
      <w:r w:rsidR="001C075F">
        <w:rPr>
          <w:rFonts w:ascii="CG Times" w:hAnsi="CG Times"/>
          <w:lang w:val="fr-FR"/>
        </w:rPr>
        <w:t xml:space="preserve"> </w:t>
      </w:r>
      <w:r w:rsidR="001C075F" w:rsidRPr="00F938D9">
        <w:rPr>
          <w:lang w:val="fr-FR"/>
        </w:rPr>
        <w:t xml:space="preserve">et à l’intention d’utiliser une partie de ce </w:t>
      </w:r>
      <w:r w:rsidR="001C075F" w:rsidRPr="00F938D9">
        <w:rPr>
          <w:iCs/>
          <w:lang w:val="fr-FR"/>
        </w:rPr>
        <w:t>financement</w:t>
      </w:r>
      <w:r w:rsidR="001C075F" w:rsidRPr="00F938D9">
        <w:rPr>
          <w:lang w:val="fr-FR"/>
        </w:rPr>
        <w:t xml:space="preserve"> pour effectuer des paiements </w:t>
      </w:r>
      <w:r w:rsidR="001C075F">
        <w:rPr>
          <w:lang w:val="fr-FR"/>
        </w:rPr>
        <w:t xml:space="preserve">pour l’acquisition de biens, travaux et services connexes et de services de consultants nécessaires dans le cadre de ce projet. </w:t>
      </w:r>
      <w:r w:rsidR="001C075F" w:rsidRPr="00F938D9">
        <w:rPr>
          <w:lang w:val="fr-FR"/>
        </w:rPr>
        <w:t xml:space="preserve"> </w:t>
      </w:r>
      <w:r w:rsidR="001C075F" w:rsidRPr="00F938D9">
        <w:rPr>
          <w:i/>
          <w:iCs/>
          <w:lang w:val="fr-FR"/>
        </w:rPr>
        <w:t>[Insérer, si applicable : « </w:t>
      </w:r>
      <w:r w:rsidR="001C075F">
        <w:rPr>
          <w:i/>
          <w:iCs/>
          <w:lang w:val="fr-FR"/>
        </w:rPr>
        <w:t>C</w:t>
      </w:r>
      <w:r w:rsidR="001C075F" w:rsidRPr="00F938D9">
        <w:rPr>
          <w:i/>
          <w:iCs/>
          <w:lang w:val="fr-FR"/>
        </w:rPr>
        <w:t xml:space="preserve">e </w:t>
      </w:r>
      <w:r w:rsidR="001C075F">
        <w:rPr>
          <w:i/>
          <w:iCs/>
          <w:lang w:val="fr-FR"/>
        </w:rPr>
        <w:t>proje</w:t>
      </w:r>
      <w:r w:rsidR="001C075F" w:rsidRPr="00F938D9">
        <w:rPr>
          <w:i/>
          <w:iCs/>
          <w:lang w:val="fr-FR"/>
        </w:rPr>
        <w:t xml:space="preserve">t sera financé conjointement par (insérer le nom du </w:t>
      </w:r>
      <w:proofErr w:type="spellStart"/>
      <w:r w:rsidR="001C075F" w:rsidRPr="00F938D9">
        <w:rPr>
          <w:i/>
          <w:iCs/>
          <w:lang w:val="fr-FR"/>
        </w:rPr>
        <w:t>co-</w:t>
      </w:r>
      <w:r w:rsidR="001C075F" w:rsidRPr="001C075F">
        <w:rPr>
          <w:i/>
          <w:iCs/>
          <w:lang w:val="fr-FR"/>
        </w:rPr>
        <w:t>financier</w:t>
      </w:r>
      <w:proofErr w:type="spellEnd"/>
      <w:r w:rsidR="001C075F" w:rsidRPr="001C075F">
        <w:rPr>
          <w:i/>
          <w:iCs/>
          <w:lang w:val="fr-FR"/>
        </w:rPr>
        <w:t>)</w:t>
      </w:r>
      <w:r w:rsidR="001C075F">
        <w:rPr>
          <w:i/>
          <w:iCs/>
          <w:lang w:val="fr-FR"/>
        </w:rPr>
        <w:t>]</w:t>
      </w:r>
      <w:r w:rsidR="001C075F" w:rsidRPr="00F938D9">
        <w:rPr>
          <w:i/>
          <w:iCs/>
          <w:lang w:val="fr-FR"/>
        </w:rPr>
        <w:t>.</w:t>
      </w:r>
    </w:p>
    <w:p w:rsidR="00C30C3D" w:rsidRDefault="00C30C3D" w:rsidP="00E35120">
      <w:pPr>
        <w:spacing w:after="120"/>
        <w:ind w:right="72"/>
        <w:rPr>
          <w:rFonts w:ascii="CG Times" w:hAnsi="CG Times"/>
          <w:lang w:val="fr-FR"/>
        </w:rPr>
      </w:pPr>
      <w:r>
        <w:rPr>
          <w:rFonts w:ascii="CG Times" w:hAnsi="CG Times"/>
          <w:lang w:val="fr-FR"/>
        </w:rPr>
        <w:t>Le projet comprendra les composantes suivantes</w:t>
      </w:r>
      <w:r w:rsidR="00D4629B">
        <w:rPr>
          <w:rFonts w:ascii="CG Times" w:hAnsi="CG Times"/>
          <w:lang w:val="fr-FR"/>
        </w:rPr>
        <w:t> :</w:t>
      </w:r>
      <w:r w:rsidR="001C075F">
        <w:rPr>
          <w:rFonts w:ascii="CG Times" w:hAnsi="CG Times"/>
          <w:lang w:val="fr-FR"/>
        </w:rPr>
        <w:t xml:space="preserve"> </w:t>
      </w:r>
      <w:r>
        <w:rPr>
          <w:rFonts w:ascii="CG Times" w:hAnsi="CG Times"/>
          <w:lang w:val="fr-FR"/>
        </w:rPr>
        <w:t>[</w:t>
      </w:r>
      <w:r w:rsidR="001C075F">
        <w:rPr>
          <w:rFonts w:ascii="CG Times" w:hAnsi="CG Times"/>
          <w:i/>
          <w:iCs/>
          <w:lang w:val="fr-FR"/>
        </w:rPr>
        <w:t>décrire l</w:t>
      </w:r>
      <w:r>
        <w:rPr>
          <w:rFonts w:ascii="CG Times" w:hAnsi="CG Times"/>
          <w:i/>
          <w:iCs/>
          <w:lang w:val="fr-FR"/>
        </w:rPr>
        <w:t xml:space="preserve">es </w:t>
      </w:r>
      <w:r w:rsidR="001C075F">
        <w:rPr>
          <w:rFonts w:ascii="CG Times" w:hAnsi="CG Times"/>
          <w:i/>
          <w:iCs/>
          <w:lang w:val="fr-FR"/>
        </w:rPr>
        <w:t xml:space="preserve">principales </w:t>
      </w:r>
      <w:r>
        <w:rPr>
          <w:rFonts w:ascii="CG Times" w:hAnsi="CG Times"/>
          <w:i/>
          <w:iCs/>
          <w:lang w:val="fr-FR"/>
        </w:rPr>
        <w:t>composant</w:t>
      </w:r>
      <w:r w:rsidR="00D4629B">
        <w:rPr>
          <w:rFonts w:ascii="CG Times" w:hAnsi="CG Times"/>
          <w:i/>
          <w:iCs/>
          <w:lang w:val="fr-FR"/>
        </w:rPr>
        <w:t>e</w:t>
      </w:r>
      <w:r>
        <w:rPr>
          <w:rFonts w:ascii="CG Times" w:hAnsi="CG Times"/>
          <w:i/>
          <w:iCs/>
          <w:lang w:val="fr-FR"/>
        </w:rPr>
        <w:t>s du projet</w:t>
      </w:r>
      <w:r w:rsidR="001C075F">
        <w:rPr>
          <w:rFonts w:ascii="CG Times" w:hAnsi="CG Times"/>
          <w:i/>
          <w:iCs/>
          <w:lang w:val="fr-FR"/>
        </w:rPr>
        <w:t>, y compris les services de consultants, et inclure une brève description des biens, travaux et services à acquérir par AOI ou AOI/PM]</w:t>
      </w:r>
      <w:r w:rsidR="00D4629B">
        <w:rPr>
          <w:rFonts w:ascii="CG Times" w:hAnsi="CG Times"/>
          <w:i/>
          <w:iCs/>
          <w:lang w:val="fr-FR"/>
        </w:rPr>
        <w:t>]</w:t>
      </w:r>
      <w:r w:rsidR="00861189">
        <w:rPr>
          <w:rFonts w:ascii="CG Times" w:hAnsi="CG Times"/>
          <w:i/>
          <w:iCs/>
          <w:lang w:val="fr-FR"/>
        </w:rPr>
        <w:t>.</w:t>
      </w:r>
    </w:p>
    <w:p w:rsidR="00C30C3D" w:rsidRDefault="00C30C3D" w:rsidP="002E774C">
      <w:pPr>
        <w:spacing w:after="120"/>
        <w:ind w:right="72"/>
        <w:jc w:val="both"/>
        <w:rPr>
          <w:rFonts w:ascii="CG Times" w:hAnsi="CG Times"/>
          <w:lang w:val="fr-FR"/>
        </w:rPr>
      </w:pPr>
      <w:r>
        <w:rPr>
          <w:rFonts w:ascii="CG Times" w:hAnsi="CG Times"/>
          <w:lang w:val="fr-FR"/>
        </w:rPr>
        <w:t xml:space="preserve">Les </w:t>
      </w:r>
      <w:r w:rsidR="00F61B08">
        <w:rPr>
          <w:rFonts w:ascii="CG Times" w:hAnsi="CG Times"/>
          <w:lang w:val="fr-FR"/>
        </w:rPr>
        <w:t>acquisition</w:t>
      </w:r>
      <w:r>
        <w:rPr>
          <w:rFonts w:ascii="CG Times" w:hAnsi="CG Times"/>
          <w:lang w:val="fr-FR"/>
        </w:rPr>
        <w:t xml:space="preserve">s </w:t>
      </w:r>
      <w:r w:rsidR="00E35120" w:rsidRPr="009F6C07">
        <w:rPr>
          <w:rFonts w:ascii="CG Times" w:hAnsi="CG Times"/>
          <w:lang w:val="fr-FR"/>
        </w:rPr>
        <w:t>financé</w:t>
      </w:r>
      <w:r w:rsidR="00E35120">
        <w:rPr>
          <w:rFonts w:ascii="CG Times" w:hAnsi="CG Times"/>
          <w:lang w:val="fr-FR"/>
        </w:rPr>
        <w:t>e</w:t>
      </w:r>
      <w:r w:rsidR="00E35120" w:rsidRPr="009F6C07">
        <w:rPr>
          <w:rFonts w:ascii="CG Times" w:hAnsi="CG Times"/>
          <w:lang w:val="fr-FR"/>
        </w:rPr>
        <w:t xml:space="preserve">s par la Banque Islamique de Développement </w:t>
      </w:r>
      <w:r>
        <w:rPr>
          <w:rFonts w:ascii="CG Times" w:hAnsi="CG Times"/>
          <w:lang w:val="fr-FR"/>
        </w:rPr>
        <w:t xml:space="preserve">seront </w:t>
      </w:r>
      <w:r w:rsidR="00F61B08">
        <w:rPr>
          <w:rFonts w:ascii="CG Times" w:hAnsi="CG Times"/>
          <w:lang w:val="fr-FR"/>
        </w:rPr>
        <w:t>effectu</w:t>
      </w:r>
      <w:r>
        <w:rPr>
          <w:rFonts w:ascii="CG Times" w:hAnsi="CG Times"/>
          <w:lang w:val="fr-FR"/>
        </w:rPr>
        <w:t>é</w:t>
      </w:r>
      <w:r w:rsidR="00F61B08">
        <w:rPr>
          <w:rFonts w:ascii="CG Times" w:hAnsi="CG Times"/>
          <w:lang w:val="fr-FR"/>
        </w:rPr>
        <w:t>e</w:t>
      </w:r>
      <w:r>
        <w:rPr>
          <w:rFonts w:ascii="CG Times" w:hAnsi="CG Times"/>
          <w:lang w:val="fr-FR"/>
        </w:rPr>
        <w:t xml:space="preserve">s conformément aux </w:t>
      </w:r>
      <w:r w:rsidRPr="009F6C07">
        <w:rPr>
          <w:rFonts w:ascii="CG Times" w:hAnsi="CG Times"/>
          <w:lang w:val="fr-FR"/>
        </w:rPr>
        <w:t>Directives</w:t>
      </w:r>
      <w:r w:rsidR="009F6C07">
        <w:rPr>
          <w:rFonts w:ascii="CG Times" w:hAnsi="CG Times"/>
          <w:lang w:val="fr-FR"/>
        </w:rPr>
        <w:t xml:space="preserve"> pour </w:t>
      </w:r>
      <w:r w:rsidR="00E35120">
        <w:rPr>
          <w:rFonts w:ascii="CG Times" w:hAnsi="CG Times"/>
          <w:lang w:val="fr-FR"/>
        </w:rPr>
        <w:t>l’acquisition de Biens, Travaux et services connexes</w:t>
      </w:r>
      <w:r w:rsidRPr="009F6C07">
        <w:rPr>
          <w:rFonts w:ascii="CG Times" w:hAnsi="CG Times"/>
          <w:lang w:val="fr-FR"/>
        </w:rPr>
        <w:t xml:space="preserve"> </w:t>
      </w:r>
      <w:r w:rsidR="009474B0">
        <w:rPr>
          <w:rFonts w:ascii="CG Times" w:hAnsi="CG Times"/>
          <w:lang w:val="fr-FR"/>
        </w:rPr>
        <w:t xml:space="preserve">dans le cadre des Projets </w:t>
      </w:r>
      <w:r w:rsidRPr="009F6C07">
        <w:rPr>
          <w:rFonts w:ascii="CG Times" w:hAnsi="CG Times"/>
          <w:lang w:val="fr-FR"/>
        </w:rPr>
        <w:t>financés par la B</w:t>
      </w:r>
      <w:r w:rsidR="009F6C07" w:rsidRPr="009F6C07">
        <w:rPr>
          <w:rFonts w:ascii="CG Times" w:hAnsi="CG Times"/>
          <w:lang w:val="fr-FR"/>
        </w:rPr>
        <w:t xml:space="preserve">anque </w:t>
      </w:r>
      <w:r w:rsidRPr="009F6C07">
        <w:rPr>
          <w:rFonts w:ascii="CG Times" w:hAnsi="CG Times"/>
          <w:lang w:val="fr-FR"/>
        </w:rPr>
        <w:t>I</w:t>
      </w:r>
      <w:r w:rsidR="009F6C07" w:rsidRPr="009F6C07">
        <w:rPr>
          <w:rFonts w:ascii="CG Times" w:hAnsi="CG Times"/>
          <w:lang w:val="fr-FR"/>
        </w:rPr>
        <w:t xml:space="preserve">slamique de Développement </w:t>
      </w:r>
      <w:r w:rsidRPr="009F6C07">
        <w:rPr>
          <w:rFonts w:ascii="CG Times" w:hAnsi="CG Times"/>
          <w:lang w:val="fr-FR"/>
        </w:rPr>
        <w:t>(</w:t>
      </w:r>
      <w:r w:rsidR="00C47CDF">
        <w:rPr>
          <w:rFonts w:ascii="CG Times" w:hAnsi="CG Times"/>
          <w:lang w:val="fr-FR"/>
        </w:rPr>
        <w:t xml:space="preserve">édition </w:t>
      </w:r>
      <w:r w:rsidR="00E35120">
        <w:rPr>
          <w:rFonts w:ascii="CG Times" w:hAnsi="CG Times"/>
          <w:lang w:val="fr-FR"/>
        </w:rPr>
        <w:t>courante</w:t>
      </w:r>
      <w:r w:rsidRPr="009F6C07">
        <w:rPr>
          <w:rFonts w:ascii="CG Times" w:hAnsi="CG Times"/>
          <w:lang w:val="fr-FR"/>
        </w:rPr>
        <w:t>)</w:t>
      </w:r>
      <w:r w:rsidR="00E35120">
        <w:rPr>
          <w:rFonts w:ascii="CG Times" w:hAnsi="CG Times"/>
          <w:lang w:val="fr-FR"/>
        </w:rPr>
        <w:t xml:space="preserve"> et sont ouvertes à tous les soumissionnaires éligibles, tels que définis dans ces Directives</w:t>
      </w:r>
      <w:r w:rsidRPr="009F6C07">
        <w:rPr>
          <w:rFonts w:ascii="CG Times" w:hAnsi="CG Times"/>
          <w:lang w:val="fr-FR"/>
        </w:rPr>
        <w:t xml:space="preserve">. Les </w:t>
      </w:r>
      <w:r w:rsidR="00E35120">
        <w:rPr>
          <w:rFonts w:ascii="CG Times" w:hAnsi="CG Times"/>
          <w:lang w:val="fr-FR"/>
        </w:rPr>
        <w:t xml:space="preserve">acquisitions </w:t>
      </w:r>
      <w:r w:rsidR="009F6C07">
        <w:rPr>
          <w:rFonts w:ascii="CG Times" w:hAnsi="CG Times"/>
          <w:lang w:val="fr-FR"/>
        </w:rPr>
        <w:t xml:space="preserve">de services de </w:t>
      </w:r>
      <w:r w:rsidRPr="009F6C07">
        <w:rPr>
          <w:rFonts w:ascii="CG Times" w:hAnsi="CG Times"/>
          <w:lang w:val="fr-FR"/>
        </w:rPr>
        <w:t xml:space="preserve">consultants </w:t>
      </w:r>
      <w:r w:rsidR="00E35120">
        <w:rPr>
          <w:rFonts w:ascii="CG Times" w:hAnsi="CG Times"/>
          <w:lang w:val="fr-FR"/>
        </w:rPr>
        <w:t xml:space="preserve">seront effectuées conformément aux </w:t>
      </w:r>
      <w:r w:rsidR="00E35120" w:rsidRPr="009F6C07">
        <w:rPr>
          <w:rFonts w:ascii="CG Times" w:hAnsi="CG Times"/>
          <w:lang w:val="fr-FR"/>
        </w:rPr>
        <w:t>Directives</w:t>
      </w:r>
      <w:r w:rsidR="00E35120">
        <w:rPr>
          <w:rFonts w:ascii="CG Times" w:hAnsi="CG Times"/>
          <w:lang w:val="fr-FR"/>
        </w:rPr>
        <w:t xml:space="preserve"> pour l’acquisition de Services de Consultants</w:t>
      </w:r>
      <w:r w:rsidR="00E35120" w:rsidRPr="009F6C07">
        <w:rPr>
          <w:rFonts w:ascii="CG Times" w:hAnsi="CG Times"/>
          <w:lang w:val="fr-FR"/>
        </w:rPr>
        <w:t xml:space="preserve"> </w:t>
      </w:r>
      <w:r w:rsidR="009474B0">
        <w:rPr>
          <w:rFonts w:ascii="CG Times" w:hAnsi="CG Times"/>
          <w:lang w:val="fr-FR"/>
        </w:rPr>
        <w:t xml:space="preserve">dans le cadre des Projets </w:t>
      </w:r>
      <w:r w:rsidR="00E35120" w:rsidRPr="009F6C07">
        <w:rPr>
          <w:rFonts w:ascii="CG Times" w:hAnsi="CG Times"/>
          <w:lang w:val="fr-FR"/>
        </w:rPr>
        <w:t>financés par la Banque Islamique de Développement (</w:t>
      </w:r>
      <w:r w:rsidR="00E35120">
        <w:rPr>
          <w:rFonts w:ascii="CG Times" w:hAnsi="CG Times"/>
          <w:lang w:val="fr-FR"/>
        </w:rPr>
        <w:t>édition courante</w:t>
      </w:r>
      <w:r w:rsidR="00E35120" w:rsidRPr="009F6C07">
        <w:rPr>
          <w:rFonts w:ascii="CG Times" w:hAnsi="CG Times"/>
          <w:lang w:val="fr-FR"/>
        </w:rPr>
        <w:t>)</w:t>
      </w:r>
      <w:r w:rsidR="009F6C07">
        <w:rPr>
          <w:rFonts w:ascii="CG Times" w:hAnsi="CG Times"/>
          <w:lang w:val="fr-FR"/>
        </w:rPr>
        <w:t>.</w:t>
      </w:r>
      <w:r w:rsidR="00E35120">
        <w:rPr>
          <w:rStyle w:val="FootnoteReference"/>
          <w:rFonts w:ascii="CG Times" w:hAnsi="CG Times"/>
          <w:lang w:val="fr-FR"/>
        </w:rPr>
        <w:footnoteReference w:id="1"/>
      </w:r>
    </w:p>
    <w:p w:rsidR="00691DCE" w:rsidRDefault="00B63B97" w:rsidP="00F938D9">
      <w:pPr>
        <w:spacing w:after="120"/>
        <w:ind w:right="72"/>
        <w:jc w:val="both"/>
        <w:rPr>
          <w:rFonts w:ascii="CG Times" w:hAnsi="CG Times"/>
          <w:lang w:val="fr-FR"/>
        </w:rPr>
      </w:pPr>
      <w:r w:rsidRPr="00F938D9">
        <w:rPr>
          <w:rFonts w:ascii="CG Times" w:hAnsi="CG Times"/>
          <w:lang w:val="fr-FR"/>
        </w:rPr>
        <w:t>Les avis spécifiques de passation des marchés</w:t>
      </w:r>
      <w:r>
        <w:rPr>
          <w:rFonts w:ascii="CG Times" w:hAnsi="CG Times"/>
          <w:lang w:val="fr-FR"/>
        </w:rPr>
        <w:t xml:space="preserve"> pour les acquisitions à effectuer par Appel d’Offres International (AOI) ou Appel d’Offres International réservé aux pays membres (AOI/PM) et les appels à manifestations d’intérêt</w:t>
      </w:r>
      <w:r w:rsidR="00691DCE">
        <w:rPr>
          <w:rFonts w:ascii="CG Times" w:hAnsi="CG Times"/>
          <w:lang w:val="fr-FR"/>
        </w:rPr>
        <w:t xml:space="preserve"> pour les services de consultants seront publiés au fur et à mesure qu’ils seront disponibles, sur le site internet de la </w:t>
      </w:r>
      <w:proofErr w:type="spellStart"/>
      <w:r w:rsidR="00691DCE">
        <w:rPr>
          <w:rFonts w:ascii="CG Times" w:hAnsi="CG Times"/>
          <w:lang w:val="fr-FR"/>
        </w:rPr>
        <w:t>BIsD</w:t>
      </w:r>
      <w:proofErr w:type="spellEnd"/>
      <w:r w:rsidR="00691DCE">
        <w:rPr>
          <w:rFonts w:ascii="CG Times" w:hAnsi="CG Times"/>
          <w:lang w:val="fr-FR"/>
        </w:rPr>
        <w:t xml:space="preserve"> [</w:t>
      </w:r>
      <w:r w:rsidR="00691DCE" w:rsidRPr="00F938D9">
        <w:rPr>
          <w:rFonts w:ascii="CG Times" w:hAnsi="CG Times"/>
          <w:i/>
          <w:lang w:val="fr-FR"/>
        </w:rPr>
        <w:t>ajouter les noms du site du Bénéficiaire, de revues techniques, de journaux et publications commerciales largement diffusés sur le plan international, et de journaux nationaux</w:t>
      </w:r>
      <w:r w:rsidR="00691DCE">
        <w:rPr>
          <w:rFonts w:ascii="CG Times" w:hAnsi="CG Times"/>
          <w:lang w:val="fr-FR"/>
        </w:rPr>
        <w:t xml:space="preserve">]. </w:t>
      </w:r>
      <w:r>
        <w:rPr>
          <w:rStyle w:val="FootnoteReference"/>
          <w:rFonts w:ascii="CG Times" w:hAnsi="CG Times"/>
          <w:b/>
          <w:lang w:val="fr-FR"/>
        </w:rPr>
        <w:footnoteReference w:id="2"/>
      </w:r>
    </w:p>
    <w:p w:rsidR="00691DCE" w:rsidRDefault="00691DCE" w:rsidP="00F938D9">
      <w:pPr>
        <w:spacing w:after="120"/>
        <w:ind w:right="72"/>
        <w:jc w:val="both"/>
        <w:rPr>
          <w:rFonts w:ascii="CG Times" w:hAnsi="CG Times"/>
          <w:lang w:val="fr-FR"/>
        </w:rPr>
      </w:pPr>
    </w:p>
    <w:p w:rsidR="00F61B08" w:rsidRDefault="00F61B08" w:rsidP="002E774C">
      <w:pPr>
        <w:spacing w:after="120"/>
        <w:ind w:right="72"/>
        <w:jc w:val="both"/>
        <w:rPr>
          <w:rFonts w:ascii="CG Times" w:hAnsi="CG Times"/>
          <w:lang w:val="fr-FR"/>
        </w:rPr>
      </w:pPr>
    </w:p>
    <w:p w:rsidR="00691DCE" w:rsidRDefault="00691DCE" w:rsidP="00691DCE">
      <w:pPr>
        <w:spacing w:after="120"/>
        <w:ind w:right="72"/>
        <w:jc w:val="both"/>
        <w:rPr>
          <w:rFonts w:ascii="CG Times" w:hAnsi="CG Times"/>
          <w:lang w:val="fr-FR"/>
        </w:rPr>
      </w:pPr>
      <w:r>
        <w:rPr>
          <w:rFonts w:ascii="CG Times" w:hAnsi="CG Times"/>
          <w:lang w:val="fr-FR"/>
        </w:rPr>
        <w:lastRenderedPageBreak/>
        <w:t>La pré-qualification de fournisseurs et d’entreprises est prévue pour les marchés ci-après : [</w:t>
      </w:r>
      <w:r w:rsidRPr="00F938D9">
        <w:rPr>
          <w:rFonts w:ascii="CG Times" w:hAnsi="CG Times"/>
          <w:i/>
          <w:lang w:val="fr-FR"/>
        </w:rPr>
        <w:t>insérer les désignations des marchés faisant l’objet de pré-qualification</w:t>
      </w:r>
      <w:r>
        <w:rPr>
          <w:rFonts w:ascii="CG Times" w:hAnsi="CG Times"/>
          <w:lang w:val="fr-FR"/>
        </w:rPr>
        <w:t>].</w:t>
      </w:r>
    </w:p>
    <w:p w:rsidR="00F61B08" w:rsidRPr="00F61B08" w:rsidRDefault="00F61B08" w:rsidP="002E774C">
      <w:pPr>
        <w:spacing w:after="120"/>
        <w:ind w:right="72"/>
        <w:jc w:val="both"/>
        <w:rPr>
          <w:rFonts w:ascii="CG Times" w:hAnsi="CG Times"/>
          <w:i/>
          <w:lang w:val="fr-FR"/>
        </w:rPr>
      </w:pPr>
      <w:r>
        <w:rPr>
          <w:rFonts w:ascii="CG Times" w:hAnsi="CG Times"/>
          <w:lang w:val="fr-FR"/>
        </w:rPr>
        <w:t xml:space="preserve">Les candidats intéressés </w:t>
      </w:r>
      <w:r w:rsidR="00517E16">
        <w:rPr>
          <w:rFonts w:ascii="CG Times" w:hAnsi="CG Times"/>
          <w:lang w:val="fr-FR"/>
        </w:rPr>
        <w:t xml:space="preserve">et éligibles, qui souhaitent être considérés pour la </w:t>
      </w:r>
      <w:r w:rsidR="00861189">
        <w:rPr>
          <w:rFonts w:ascii="CG Times" w:hAnsi="CG Times"/>
          <w:lang w:val="fr-FR"/>
        </w:rPr>
        <w:t>fourniture</w:t>
      </w:r>
      <w:r w:rsidR="00517E16">
        <w:rPr>
          <w:rFonts w:ascii="CG Times" w:hAnsi="CG Times"/>
          <w:lang w:val="fr-FR"/>
        </w:rPr>
        <w:t xml:space="preserve"> de biens, travaux et services de consultants pour le projet, ou qui désirent obtenir des informations additionnelles, sont invités à contacter le Bénéficiaire à l’adresse ci-dessous</w:t>
      </w:r>
      <w:r>
        <w:rPr>
          <w:rFonts w:ascii="CG Times" w:hAnsi="CG Times"/>
          <w:lang w:val="fr-FR"/>
        </w:rPr>
        <w:t>:</w:t>
      </w:r>
    </w:p>
    <w:p w:rsidR="00517E16" w:rsidRDefault="00517E16">
      <w:pPr>
        <w:ind w:right="72"/>
        <w:rPr>
          <w:rFonts w:ascii="CG Times" w:hAnsi="CG Times"/>
          <w:i/>
          <w:lang w:val="fr-FR"/>
        </w:rPr>
      </w:pPr>
      <w:r>
        <w:rPr>
          <w:rFonts w:ascii="CG Times" w:hAnsi="CG Times"/>
          <w:i/>
          <w:lang w:val="fr-FR"/>
        </w:rPr>
        <w:t>[Nom de l’Organisme]</w:t>
      </w:r>
    </w:p>
    <w:p w:rsidR="00F61B08" w:rsidRDefault="00517E16">
      <w:pPr>
        <w:ind w:right="72"/>
        <w:rPr>
          <w:rFonts w:ascii="CG Times" w:hAnsi="CG Times"/>
          <w:i/>
          <w:lang w:val="fr-FR"/>
        </w:rPr>
      </w:pPr>
      <w:r>
        <w:rPr>
          <w:rFonts w:ascii="CG Times" w:hAnsi="CG Times"/>
          <w:i/>
          <w:lang w:val="fr-FR"/>
        </w:rPr>
        <w:t>[</w:t>
      </w:r>
      <w:r w:rsidR="00992D95">
        <w:rPr>
          <w:rFonts w:ascii="CG Times" w:hAnsi="CG Times"/>
          <w:i/>
          <w:lang w:val="fr-FR"/>
        </w:rPr>
        <w:t>Nom de la personne à contacter</w:t>
      </w:r>
      <w:r>
        <w:rPr>
          <w:rFonts w:ascii="CG Times" w:hAnsi="CG Times"/>
          <w:i/>
          <w:lang w:val="fr-FR"/>
        </w:rPr>
        <w:t>]</w:t>
      </w:r>
    </w:p>
    <w:p w:rsidR="00992D95" w:rsidRDefault="00517E16">
      <w:pPr>
        <w:ind w:right="72"/>
        <w:rPr>
          <w:rFonts w:ascii="CG Times" w:hAnsi="CG Times"/>
          <w:i/>
          <w:lang w:val="fr-FR"/>
        </w:rPr>
      </w:pPr>
      <w:r>
        <w:rPr>
          <w:rFonts w:ascii="CG Times" w:hAnsi="CG Times"/>
          <w:i/>
          <w:lang w:val="fr-FR"/>
        </w:rPr>
        <w:t>[</w:t>
      </w:r>
      <w:r w:rsidR="00992D95">
        <w:rPr>
          <w:rFonts w:ascii="CG Times" w:hAnsi="CG Times"/>
          <w:i/>
          <w:lang w:val="fr-FR"/>
        </w:rPr>
        <w:t>Titre/fonction de la personne à contacter</w:t>
      </w:r>
      <w:r>
        <w:rPr>
          <w:rFonts w:ascii="CG Times" w:hAnsi="CG Times"/>
          <w:i/>
          <w:lang w:val="fr-FR"/>
        </w:rPr>
        <w:t>]</w:t>
      </w:r>
    </w:p>
    <w:p w:rsidR="00992D95" w:rsidRDefault="00517E16">
      <w:pPr>
        <w:ind w:right="72"/>
        <w:rPr>
          <w:rFonts w:ascii="CG Times" w:hAnsi="CG Times"/>
          <w:i/>
          <w:lang w:val="fr-FR"/>
        </w:rPr>
      </w:pPr>
      <w:r>
        <w:rPr>
          <w:rFonts w:ascii="CG Times" w:hAnsi="CG Times"/>
          <w:i/>
          <w:lang w:val="fr-FR"/>
        </w:rPr>
        <w:t>[</w:t>
      </w:r>
      <w:r w:rsidR="00992D95">
        <w:rPr>
          <w:rFonts w:ascii="CG Times" w:hAnsi="CG Times"/>
          <w:i/>
          <w:lang w:val="fr-FR"/>
        </w:rPr>
        <w:t>Téléphone</w:t>
      </w:r>
      <w:r>
        <w:rPr>
          <w:rFonts w:ascii="CG Times" w:hAnsi="CG Times"/>
          <w:i/>
          <w:lang w:val="fr-FR"/>
        </w:rPr>
        <w:t>]</w:t>
      </w:r>
    </w:p>
    <w:p w:rsidR="00992D95" w:rsidRDefault="00517E16">
      <w:pPr>
        <w:ind w:right="72"/>
        <w:rPr>
          <w:rFonts w:ascii="CG Times" w:hAnsi="CG Times"/>
          <w:i/>
          <w:lang w:val="fr-FR"/>
        </w:rPr>
      </w:pPr>
      <w:r>
        <w:rPr>
          <w:rFonts w:ascii="CG Times" w:hAnsi="CG Times"/>
          <w:i/>
          <w:lang w:val="fr-FR"/>
        </w:rPr>
        <w:t>[</w:t>
      </w:r>
      <w:r w:rsidR="00992D95">
        <w:rPr>
          <w:rFonts w:ascii="CG Times" w:hAnsi="CG Times"/>
          <w:i/>
          <w:lang w:val="fr-FR"/>
        </w:rPr>
        <w:t>Télécopie</w:t>
      </w:r>
      <w:r>
        <w:rPr>
          <w:rFonts w:ascii="CG Times" w:hAnsi="CG Times"/>
          <w:i/>
          <w:lang w:val="fr-FR"/>
        </w:rPr>
        <w:t>]</w:t>
      </w:r>
    </w:p>
    <w:p w:rsidR="00992D95" w:rsidRDefault="00517E16">
      <w:pPr>
        <w:ind w:right="72"/>
        <w:rPr>
          <w:rFonts w:ascii="CG Times" w:hAnsi="CG Times"/>
          <w:i/>
          <w:lang w:val="fr-FR"/>
        </w:rPr>
      </w:pPr>
      <w:r>
        <w:rPr>
          <w:rFonts w:ascii="CG Times" w:hAnsi="CG Times"/>
          <w:i/>
          <w:lang w:val="fr-FR"/>
        </w:rPr>
        <w:t>[</w:t>
      </w:r>
      <w:r w:rsidR="00992D95">
        <w:rPr>
          <w:rFonts w:ascii="CG Times" w:hAnsi="CG Times"/>
          <w:i/>
          <w:lang w:val="fr-FR"/>
        </w:rPr>
        <w:t>Courriel</w:t>
      </w:r>
      <w:r>
        <w:rPr>
          <w:rFonts w:ascii="CG Times" w:hAnsi="CG Times"/>
          <w:i/>
          <w:lang w:val="fr-FR"/>
        </w:rPr>
        <w:t>]</w:t>
      </w:r>
    </w:p>
    <w:p w:rsidR="00992D95" w:rsidRDefault="00517E16" w:rsidP="00F938D9">
      <w:pPr>
        <w:spacing w:after="120" w:line="360" w:lineRule="auto"/>
        <w:ind w:right="72"/>
        <w:rPr>
          <w:rFonts w:ascii="CG Times" w:hAnsi="CG Times"/>
          <w:i/>
          <w:lang w:val="fr-FR"/>
        </w:rPr>
      </w:pPr>
      <w:r>
        <w:rPr>
          <w:rFonts w:ascii="CG Times" w:hAnsi="CG Times"/>
          <w:i/>
          <w:lang w:val="fr-FR"/>
        </w:rPr>
        <w:t>[</w:t>
      </w:r>
      <w:r w:rsidR="00992D95">
        <w:rPr>
          <w:rFonts w:ascii="CG Times" w:hAnsi="CG Times"/>
          <w:i/>
          <w:lang w:val="fr-FR"/>
        </w:rPr>
        <w:t>Site internet</w:t>
      </w:r>
      <w:r>
        <w:rPr>
          <w:rFonts w:ascii="CG Times" w:hAnsi="CG Times"/>
          <w:i/>
          <w:lang w:val="fr-FR"/>
        </w:rPr>
        <w:t>]</w:t>
      </w:r>
    </w:p>
    <w:p w:rsidR="00992D95" w:rsidRPr="00992D95" w:rsidRDefault="00992D95" w:rsidP="00992D95">
      <w:pPr>
        <w:ind w:right="72"/>
        <w:jc w:val="both"/>
        <w:rPr>
          <w:rFonts w:ascii="CG Times" w:hAnsi="CG Times"/>
          <w:lang w:val="fr-FR"/>
        </w:rPr>
      </w:pPr>
    </w:p>
    <w:sectPr w:rsidR="00992D95" w:rsidRPr="00992D95">
      <w:endnotePr>
        <w:numFmt w:val="decimal"/>
      </w:endnotePr>
      <w:type w:val="continuous"/>
      <w:pgSz w:w="12240" w:h="15840"/>
      <w:pgMar w:top="1440" w:right="172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4FA2" w:rsidRDefault="00954FA2">
      <w:r>
        <w:separator/>
      </w:r>
    </w:p>
  </w:endnote>
  <w:endnote w:type="continuationSeparator" w:id="0">
    <w:p w:rsidR="00954FA2" w:rsidRDefault="0095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4FA2" w:rsidRDefault="00954FA2">
      <w:r>
        <w:separator/>
      </w:r>
    </w:p>
  </w:footnote>
  <w:footnote w:type="continuationSeparator" w:id="0">
    <w:p w:rsidR="00954FA2" w:rsidRDefault="00954FA2">
      <w:r>
        <w:continuationSeparator/>
      </w:r>
    </w:p>
  </w:footnote>
  <w:footnote w:id="1">
    <w:p w:rsidR="00E35120" w:rsidRPr="00F938D9" w:rsidRDefault="00E35120">
      <w:pPr>
        <w:pStyle w:val="FootnoteText"/>
        <w:rPr>
          <w:lang w:val="fr-FR"/>
        </w:rPr>
      </w:pPr>
      <w:r>
        <w:rPr>
          <w:rStyle w:val="FootnoteReference"/>
        </w:rPr>
        <w:footnoteRef/>
      </w:r>
      <w:r>
        <w:t xml:space="preserve"> </w:t>
      </w:r>
      <w:r w:rsidR="00B63B97" w:rsidRPr="00F938D9">
        <w:rPr>
          <w:i/>
          <w:sz w:val="22"/>
          <w:szCs w:val="22"/>
          <w:u w:val="single"/>
          <w:lang w:val="fr-FR"/>
        </w:rPr>
        <w:t>A supprimer du document final :</w:t>
      </w:r>
      <w:r w:rsidR="00B63B97">
        <w:rPr>
          <w:i/>
          <w:lang w:val="fr-FR"/>
        </w:rPr>
        <w:t xml:space="preserve"> Parfois des acquisitions peuvent être financées dans le cadre de fonds fiduciaires liés qui pourraient restreindre les conditions d’éligibilité à un groupe spécifique de pays membres.  Dans un tel cas, cela doit être indiqué dans ce paragraphe.  Indiquer également le recours à une marge de préférence qui pourrait être spécifiée dans l’accord de financement et explicité dans les documents d’appel d’offres.</w:t>
      </w:r>
    </w:p>
  </w:footnote>
  <w:footnote w:id="2">
    <w:p w:rsidR="00B63B97" w:rsidRPr="00F938D9" w:rsidRDefault="00B63B97">
      <w:pPr>
        <w:pStyle w:val="FootnoteText"/>
        <w:rPr>
          <w:i/>
          <w:lang w:val="fr-FR"/>
        </w:rPr>
      </w:pPr>
      <w:r>
        <w:rPr>
          <w:rStyle w:val="FootnoteReference"/>
        </w:rPr>
        <w:footnoteRef/>
      </w:r>
      <w:r>
        <w:t xml:space="preserve"> </w:t>
      </w:r>
      <w:r w:rsidRPr="00661432">
        <w:rPr>
          <w:i/>
          <w:sz w:val="22"/>
          <w:szCs w:val="22"/>
          <w:u w:val="single"/>
          <w:lang w:val="fr-FR"/>
        </w:rPr>
        <w:t>A supprimer du document final </w:t>
      </w:r>
      <w:r w:rsidRPr="00F938D9">
        <w:rPr>
          <w:i/>
          <w:lang w:val="fr-FR"/>
        </w:rPr>
        <w:t>:</w:t>
      </w:r>
      <w:r>
        <w:rPr>
          <w:i/>
          <w:lang w:val="fr-FR"/>
        </w:rPr>
        <w:t xml:space="preserve"> </w:t>
      </w:r>
      <w:r w:rsidRPr="00F938D9">
        <w:rPr>
          <w:i/>
          <w:lang w:val="fr-FR"/>
        </w:rPr>
        <w:t>L’avis doit aussi mentionner, si elle</w:t>
      </w:r>
      <w:r w:rsidR="00691DCE">
        <w:rPr>
          <w:i/>
          <w:lang w:val="fr-FR"/>
        </w:rPr>
        <w:t>s</w:t>
      </w:r>
      <w:r w:rsidRPr="00F938D9">
        <w:rPr>
          <w:i/>
          <w:lang w:val="fr-FR"/>
        </w:rPr>
        <w:t xml:space="preserve"> </w:t>
      </w:r>
      <w:r w:rsidR="00691DCE">
        <w:rPr>
          <w:i/>
          <w:lang w:val="fr-FR"/>
        </w:rPr>
        <w:t>son</w:t>
      </w:r>
      <w:r w:rsidRPr="00F938D9">
        <w:rPr>
          <w:i/>
          <w:lang w:val="fr-FR"/>
        </w:rPr>
        <w:t>t connue</w:t>
      </w:r>
      <w:r w:rsidR="00691DCE">
        <w:rPr>
          <w:i/>
          <w:lang w:val="fr-FR"/>
        </w:rPr>
        <w:t>s</w:t>
      </w:r>
      <w:r w:rsidRPr="00F938D9">
        <w:rPr>
          <w:i/>
          <w:lang w:val="fr-FR"/>
        </w:rPr>
        <w:t>, l</w:t>
      </w:r>
      <w:r w:rsidR="00691DCE">
        <w:rPr>
          <w:i/>
          <w:lang w:val="fr-FR"/>
        </w:rPr>
        <w:t>es</w:t>
      </w:r>
      <w:r w:rsidRPr="00F938D9">
        <w:rPr>
          <w:i/>
          <w:lang w:val="fr-FR"/>
        </w:rPr>
        <w:t xml:space="preserve"> date</w:t>
      </w:r>
      <w:r w:rsidR="00691DCE">
        <w:rPr>
          <w:i/>
          <w:lang w:val="fr-FR"/>
        </w:rPr>
        <w:t>s</w:t>
      </w:r>
      <w:r w:rsidRPr="00F938D9">
        <w:rPr>
          <w:i/>
          <w:lang w:val="fr-FR"/>
        </w:rPr>
        <w:t xml:space="preserve"> </w:t>
      </w:r>
      <w:r w:rsidR="00691DCE">
        <w:rPr>
          <w:i/>
          <w:lang w:val="fr-FR"/>
        </w:rPr>
        <w:t>aux</w:t>
      </w:r>
      <w:r w:rsidRPr="00F938D9">
        <w:rPr>
          <w:i/>
          <w:lang w:val="fr-FR"/>
        </w:rPr>
        <w:t>quelle</w:t>
      </w:r>
      <w:r w:rsidR="00691DCE">
        <w:rPr>
          <w:i/>
          <w:lang w:val="fr-FR"/>
        </w:rPr>
        <w:t>s les avis spécifiques de passation de marchés de biens ou travaux, de pré-qualification et de publication d’appel à manifestations d’intérêt pour les consultants sont prévues être publiées.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5465E"/>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620A01"/>
    <w:multiLevelType w:val="hybridMultilevel"/>
    <w:tmpl w:val="9DA8CD3A"/>
    <w:lvl w:ilvl="0" w:tplc="04090017">
      <w:start w:val="1"/>
      <w:numFmt w:val="lowerLetter"/>
      <w:lvlText w:val="%1)"/>
      <w:lvlJc w:val="left"/>
      <w:pPr>
        <w:ind w:left="720" w:hanging="360"/>
      </w:pPr>
    </w:lvl>
    <w:lvl w:ilvl="1" w:tplc="CD2EFC9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D"/>
    <w:rsid w:val="001C075F"/>
    <w:rsid w:val="00250167"/>
    <w:rsid w:val="002E207A"/>
    <w:rsid w:val="002E774C"/>
    <w:rsid w:val="003A3B7B"/>
    <w:rsid w:val="00406DAD"/>
    <w:rsid w:val="00517E16"/>
    <w:rsid w:val="00531E04"/>
    <w:rsid w:val="005946BC"/>
    <w:rsid w:val="00603B95"/>
    <w:rsid w:val="00691DCE"/>
    <w:rsid w:val="006F1DD8"/>
    <w:rsid w:val="00861189"/>
    <w:rsid w:val="00912919"/>
    <w:rsid w:val="009474B0"/>
    <w:rsid w:val="00954FA2"/>
    <w:rsid w:val="00992D95"/>
    <w:rsid w:val="009F6C07"/>
    <w:rsid w:val="00A30714"/>
    <w:rsid w:val="00AA4BB7"/>
    <w:rsid w:val="00B63B97"/>
    <w:rsid w:val="00BC2AB4"/>
    <w:rsid w:val="00C30C3D"/>
    <w:rsid w:val="00C47CDF"/>
    <w:rsid w:val="00D4629B"/>
    <w:rsid w:val="00DE67A8"/>
    <w:rsid w:val="00DF392B"/>
    <w:rsid w:val="00E35120"/>
    <w:rsid w:val="00F61B08"/>
    <w:rsid w:val="00F938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AF0CF-C65E-466A-9EC8-D68C175E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left" w:pos="7200"/>
      </w:tabs>
    </w:pPr>
    <w:rPr>
      <w:i/>
      <w:sz w:val="22"/>
      <w:szCs w:val="20"/>
    </w:rPr>
  </w:style>
  <w:style w:type="character" w:styleId="PageNumber">
    <w:name w:val="page number"/>
    <w:basedOn w:val="DefaultParagraphFont"/>
  </w:style>
  <w:style w:type="paragraph" w:customStyle="1" w:styleId="BankNormal">
    <w:name w:val="BankNormal"/>
    <w:basedOn w:val="Normal"/>
    <w:pPr>
      <w:spacing w:before="240" w:after="60"/>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itle">
    <w:name w:val="Title"/>
    <w:basedOn w:val="Normal"/>
    <w:qFormat/>
    <w:pPr>
      <w:ind w:right="72"/>
      <w:jc w:val="center"/>
    </w:pPr>
    <w:rPr>
      <w:rFonts w:ascii="CG Times" w:hAnsi="CG Times"/>
      <w:b/>
      <w:u w:val="single"/>
      <w:lang w:val="fr-FR"/>
    </w:rPr>
  </w:style>
  <w:style w:type="paragraph" w:styleId="BodyText">
    <w:name w:val="Body Text"/>
    <w:basedOn w:val="Normal"/>
    <w:pPr>
      <w:ind w:right="72"/>
    </w:pPr>
    <w:rPr>
      <w:rFonts w:ascii="CG Times" w:hAnsi="CG Times"/>
      <w:lang w:val="fr-FR"/>
    </w:rPr>
  </w:style>
  <w:style w:type="paragraph" w:styleId="Footer">
    <w:name w:val="footer"/>
    <w:basedOn w:val="Normal"/>
    <w:rsid w:val="00A30714"/>
    <w:pPr>
      <w:tabs>
        <w:tab w:val="center" w:pos="4320"/>
        <w:tab w:val="right" w:pos="8640"/>
      </w:tabs>
    </w:pPr>
  </w:style>
  <w:style w:type="paragraph" w:styleId="BalloonText">
    <w:name w:val="Balloon Text"/>
    <w:basedOn w:val="Normal"/>
    <w:link w:val="BalloonTextChar"/>
    <w:rsid w:val="00250167"/>
    <w:rPr>
      <w:rFonts w:ascii="Tahoma" w:hAnsi="Tahoma" w:cs="Tahoma"/>
      <w:sz w:val="16"/>
      <w:szCs w:val="16"/>
    </w:rPr>
  </w:style>
  <w:style w:type="character" w:customStyle="1" w:styleId="BalloonTextChar">
    <w:name w:val="Balloon Text Char"/>
    <w:basedOn w:val="DefaultParagraphFont"/>
    <w:link w:val="BalloonText"/>
    <w:rsid w:val="00250167"/>
    <w:rPr>
      <w:rFonts w:ascii="Tahoma" w:hAnsi="Tahoma" w:cs="Tahoma"/>
      <w:sz w:val="16"/>
      <w:szCs w:val="16"/>
      <w:lang w:val="en-US" w:eastAsia="en-US"/>
    </w:rPr>
  </w:style>
  <w:style w:type="paragraph" w:styleId="ListParagraph">
    <w:name w:val="List Paragraph"/>
    <w:aliases w:val="Citation List,본문(내용),List Paragraph (numbered (a))"/>
    <w:basedOn w:val="Normal"/>
    <w:link w:val="ListParagraphChar"/>
    <w:uiPriority w:val="34"/>
    <w:qFormat/>
    <w:rsid w:val="00531E04"/>
    <w:pPr>
      <w:spacing w:after="120" w:line="264" w:lineRule="auto"/>
      <w:ind w:left="720"/>
      <w:contextualSpacing/>
    </w:pPr>
    <w:rPr>
      <w:rFonts w:asciiTheme="minorHAnsi" w:eastAsiaTheme="minorEastAsia" w:hAnsiTheme="minorHAnsi" w:cstheme="minorBidi"/>
      <w:sz w:val="20"/>
      <w:szCs w:val="20"/>
      <w:lang w:val="en-GB"/>
    </w:rPr>
  </w:style>
  <w:style w:type="character" w:customStyle="1" w:styleId="ListParagraphChar">
    <w:name w:val="List Paragraph Char"/>
    <w:aliases w:val="Citation List Char,본문(내용) Char,List Paragraph (numbered (a)) Char"/>
    <w:basedOn w:val="DefaultParagraphFont"/>
    <w:link w:val="ListParagraph"/>
    <w:uiPriority w:val="34"/>
    <w:rsid w:val="00531E04"/>
    <w:rPr>
      <w:rFonts w:asciiTheme="minorHAnsi" w:eastAsiaTheme="minorEastAsia" w:hAnsiTheme="minorHAnsi" w:cstheme="minorBidi"/>
      <w:lang w:val="en-GB" w:eastAsia="en-US"/>
    </w:rPr>
  </w:style>
  <w:style w:type="character" w:styleId="FootnoteReference">
    <w:name w:val="footnote reference"/>
    <w:rsid w:val="001C075F"/>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
    <w:qFormat/>
    <w:rsid w:val="001C075F"/>
    <w:pPr>
      <w:jc w:val="both"/>
    </w:pPr>
    <w:rPr>
      <w:sz w:val="20"/>
      <w:szCs w:val="20"/>
      <w:lang w:val="es-ES_tradnl" w:eastAsia="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C075F"/>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7EFB-4CA4-4955-8E86-777A00569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Examplaire de modèle de</vt:lpstr>
    </vt:vector>
  </TitlesOfParts>
  <Company>World Bank Group</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Examplaire de modèle de</dc:title>
  <dc:creator>Jean-Jacques</dc:creator>
  <cp:lastModifiedBy>Elhadj Malick Soumare</cp:lastModifiedBy>
  <cp:revision>2</cp:revision>
  <cp:lastPrinted>2003-07-29T07:59:00Z</cp:lastPrinted>
  <dcterms:created xsi:type="dcterms:W3CDTF">2019-03-17T07:11:00Z</dcterms:created>
  <dcterms:modified xsi:type="dcterms:W3CDTF">2019-03-17T07:11:00Z</dcterms:modified>
</cp:coreProperties>
</file>