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55" w:rsidRPr="00D41722" w:rsidRDefault="00EF3756" w:rsidP="009F5388">
      <w:pPr>
        <w:spacing w:after="200"/>
        <w:jc w:val="center"/>
        <w:rPr>
          <w:rFonts w:asciiTheme="majorBidi" w:hAnsiTheme="majorBidi" w:cstheme="majorBidi"/>
          <w:b/>
          <w:szCs w:val="24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b/>
          <w:szCs w:val="24"/>
          <w:lang w:val="fr-FR"/>
        </w:rPr>
        <w:t>Plan Résumé de Passation des Marchés pour le Projet</w:t>
      </w:r>
    </w:p>
    <w:p w:rsidR="00FE4A55" w:rsidRPr="00D41722" w:rsidRDefault="00EF3756" w:rsidP="009B5CA0">
      <w:pPr>
        <w:pStyle w:val="Heading1"/>
        <w:spacing w:before="120" w:after="120"/>
        <w:ind w:left="576" w:hanging="576"/>
        <w:rPr>
          <w:rFonts w:asciiTheme="majorBidi" w:hAnsiTheme="majorBidi"/>
          <w:sz w:val="20"/>
          <w:szCs w:val="20"/>
          <w:lang w:val="fr-FR"/>
        </w:rPr>
      </w:pPr>
      <w:bookmarkStart w:id="1" w:name="_Toc67755723"/>
      <w:bookmarkStart w:id="2" w:name="_Toc170797381"/>
      <w:bookmarkStart w:id="3" w:name="_Toc1899706"/>
      <w:r>
        <w:rPr>
          <w:rFonts w:asciiTheme="majorBidi" w:hAnsiTheme="majorBidi"/>
          <w:sz w:val="20"/>
          <w:szCs w:val="20"/>
          <w:lang w:val="fr-FR"/>
        </w:rPr>
        <w:t xml:space="preserve">OBJECTIF DU </w:t>
      </w:r>
      <w:r w:rsidRPr="00D41722">
        <w:rPr>
          <w:rFonts w:asciiTheme="majorBidi" w:hAnsiTheme="majorBidi"/>
          <w:sz w:val="20"/>
          <w:szCs w:val="20"/>
          <w:lang w:val="fr-FR"/>
        </w:rPr>
        <w:t>PLAN DE PASSATION DES MARCHÉS</w:t>
      </w:r>
      <w:bookmarkEnd w:id="1"/>
      <w:bookmarkEnd w:id="2"/>
      <w:r w:rsidR="005649EE" w:rsidRPr="00D41722">
        <w:rPr>
          <w:rFonts w:asciiTheme="majorBidi" w:hAnsiTheme="majorBidi"/>
          <w:sz w:val="20"/>
          <w:szCs w:val="20"/>
          <w:lang w:val="fr-FR"/>
        </w:rPr>
        <w:tab/>
      </w:r>
      <w:r w:rsidR="005649EE" w:rsidRPr="00D41722">
        <w:rPr>
          <w:rFonts w:asciiTheme="majorBidi" w:hAnsiTheme="majorBidi"/>
          <w:sz w:val="20"/>
          <w:szCs w:val="20"/>
          <w:lang w:val="fr-FR"/>
        </w:rPr>
        <w:tab/>
        <w:t>(VERSION#</w:t>
      </w:r>
      <w:r w:rsidR="005649EE" w:rsidRPr="00D41722">
        <w:rPr>
          <w:rFonts w:asciiTheme="majorBidi" w:hAnsiTheme="majorBidi"/>
          <w:sz w:val="20"/>
          <w:szCs w:val="20"/>
          <w:lang w:val="fr-FR"/>
        </w:rPr>
        <w:tab/>
        <w:t>DATE:</w:t>
      </w:r>
      <w:r w:rsidR="00D41722">
        <w:rPr>
          <w:rFonts w:asciiTheme="majorBidi" w:hAnsiTheme="majorBidi"/>
          <w:sz w:val="20"/>
          <w:szCs w:val="20"/>
          <w:lang w:val="fr-FR"/>
        </w:rPr>
        <w:t xml:space="preserve"> (</w:t>
      </w:r>
      <w:proofErr w:type="spellStart"/>
      <w:r>
        <w:rPr>
          <w:rFonts w:asciiTheme="majorBidi" w:hAnsiTheme="majorBidi"/>
          <w:sz w:val="20"/>
          <w:szCs w:val="20"/>
          <w:lang w:val="fr-FR"/>
        </w:rPr>
        <w:t>jj</w:t>
      </w:r>
      <w:proofErr w:type="spellEnd"/>
      <w:r w:rsidR="00FC49F2" w:rsidRPr="00D41722">
        <w:rPr>
          <w:rFonts w:asciiTheme="majorBidi" w:hAnsiTheme="majorBidi"/>
          <w:sz w:val="20"/>
          <w:szCs w:val="20"/>
          <w:lang w:val="fr-FR"/>
        </w:rPr>
        <w:t>/mm/</w:t>
      </w:r>
      <w:proofErr w:type="spellStart"/>
      <w:r>
        <w:rPr>
          <w:rFonts w:asciiTheme="majorBidi" w:hAnsiTheme="majorBidi"/>
          <w:sz w:val="20"/>
          <w:szCs w:val="20"/>
          <w:lang w:val="fr-FR"/>
        </w:rPr>
        <w:t>aa</w:t>
      </w:r>
      <w:proofErr w:type="spellEnd"/>
      <w:r w:rsidR="00FC49F2" w:rsidRPr="00D41722">
        <w:rPr>
          <w:rFonts w:asciiTheme="majorBidi" w:hAnsiTheme="majorBidi"/>
          <w:sz w:val="20"/>
          <w:szCs w:val="20"/>
          <w:lang w:val="fr-FR"/>
        </w:rPr>
        <w:t>)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E4A55" w:rsidRPr="00752AB7" w:rsidTr="00427172">
        <w:trPr>
          <w:trHeight w:val="288"/>
          <w:tblCellSpacing w:w="20" w:type="dxa"/>
        </w:trPr>
        <w:tc>
          <w:tcPr>
            <w:tcW w:w="4950" w:type="pct"/>
            <w:shd w:val="clear" w:color="auto" w:fill="E6E6E6"/>
            <w:vAlign w:val="center"/>
          </w:tcPr>
          <w:p w:rsidR="00FE4A55" w:rsidRPr="00D41722" w:rsidRDefault="00EF3756" w:rsidP="00EF3756">
            <w:pP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Objectifs du 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Plan de Passation des Marchés</w:t>
            </w:r>
            <w:r w:rsidR="00FE4A55"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E4A55" w:rsidRPr="00752AB7" w:rsidTr="00427172">
        <w:trPr>
          <w:trHeight w:val="973"/>
          <w:tblCellSpacing w:w="20" w:type="dxa"/>
        </w:trPr>
        <w:tc>
          <w:tcPr>
            <w:tcW w:w="4950" w:type="pct"/>
            <w:shd w:val="clear" w:color="auto" w:fill="auto"/>
          </w:tcPr>
          <w:p w:rsidR="00FE4A55" w:rsidRPr="00D41722" w:rsidRDefault="00EF3756" w:rsidP="00EF3756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Ce Plan de Passation des Marchés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indique les march</w:t>
            </w:r>
            <w:r w:rsid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é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s spécifiques qui seront nécessaires à la mise en </w:t>
            </w:r>
            <w:r w:rsidR="00D41722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œuvre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du Projet. </w:t>
            </w:r>
            <w:r w:rsidRPr="00EF3756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Il est destiné à fournir des informations sur les acquisitions de biens et services, la manière dont les </w:t>
            </w:r>
            <w:r w:rsidR="00D41722" w:rsidRPr="00EF3756">
              <w:rPr>
                <w:rFonts w:asciiTheme="majorBidi" w:hAnsiTheme="majorBidi" w:cstheme="majorBidi"/>
                <w:sz w:val="20"/>
                <w:szCs w:val="20"/>
                <w:lang w:val="fr-FR"/>
              </w:rPr>
              <w:t>fournisseurs</w:t>
            </w:r>
            <w:r w:rsidRPr="00EF3756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seront sélectionnés,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le(s) type(s) de marché(s) qui sera (seront) utilisé(s), et les responsables des acquisitions à tous les stades du processus. </w:t>
            </w:r>
            <w:r w:rsidRPr="00EF3756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Les renseignement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s relatifs au Projet faisant l’objet du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Plan de Passation des Marchés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figurent dans le </w:t>
            </w:r>
            <w:r w:rsidR="00E320E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Table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au</w:t>
            </w:r>
            <w:r w:rsidR="00E320E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1</w:t>
            </w:r>
            <w:r w:rsid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.</w:t>
            </w:r>
          </w:p>
        </w:tc>
      </w:tr>
    </w:tbl>
    <w:p w:rsidR="00FE4A55" w:rsidRPr="00D41722" w:rsidRDefault="00FE4A55" w:rsidP="009B5CA0">
      <w:pPr>
        <w:pStyle w:val="Caption"/>
        <w:keepNext/>
        <w:jc w:val="center"/>
        <w:rPr>
          <w:rFonts w:asciiTheme="majorBidi" w:hAnsiTheme="majorBidi" w:cstheme="majorBidi"/>
          <w:lang w:val="fr-FR"/>
        </w:rPr>
      </w:pPr>
      <w:bookmarkStart w:id="4" w:name="_Toc170797382"/>
      <w:bookmarkEnd w:id="3"/>
      <w:r w:rsidRPr="00D41722">
        <w:rPr>
          <w:rFonts w:asciiTheme="majorBidi" w:hAnsiTheme="majorBidi" w:cstheme="majorBidi"/>
          <w:lang w:val="fr-FR"/>
        </w:rPr>
        <w:t>Table</w:t>
      </w:r>
      <w:r w:rsidR="00EF3756" w:rsidRPr="00D41722">
        <w:rPr>
          <w:rFonts w:asciiTheme="majorBidi" w:hAnsiTheme="majorBidi" w:cstheme="majorBidi"/>
          <w:lang w:val="fr-FR"/>
        </w:rPr>
        <w:t>au</w:t>
      </w:r>
      <w:r w:rsidRPr="00D41722">
        <w:rPr>
          <w:rFonts w:asciiTheme="majorBidi" w:hAnsiTheme="majorBidi" w:cstheme="majorBidi"/>
          <w:lang w:val="fr-FR"/>
        </w:rPr>
        <w:t xml:space="preserve"> - </w:t>
      </w:r>
      <w:r w:rsidR="004A701C" w:rsidRPr="005649EE">
        <w:rPr>
          <w:rFonts w:asciiTheme="majorBidi" w:hAnsiTheme="majorBidi" w:cstheme="majorBidi"/>
        </w:rPr>
        <w:fldChar w:fldCharType="begin"/>
      </w:r>
      <w:r w:rsidRPr="00D41722">
        <w:rPr>
          <w:rFonts w:asciiTheme="majorBidi" w:hAnsiTheme="majorBidi" w:cstheme="majorBidi"/>
          <w:lang w:val="fr-FR"/>
        </w:rPr>
        <w:instrText xml:space="preserve"> SEQ Table_8_- \* ARABIC </w:instrText>
      </w:r>
      <w:r w:rsidR="004A701C" w:rsidRPr="005649EE">
        <w:rPr>
          <w:rFonts w:asciiTheme="majorBidi" w:hAnsiTheme="majorBidi" w:cstheme="majorBidi"/>
        </w:rPr>
        <w:fldChar w:fldCharType="separate"/>
      </w:r>
      <w:r w:rsidR="00AE506E" w:rsidRPr="00D41722">
        <w:rPr>
          <w:rFonts w:asciiTheme="majorBidi" w:hAnsiTheme="majorBidi" w:cstheme="majorBidi"/>
          <w:noProof/>
          <w:lang w:val="fr-FR"/>
        </w:rPr>
        <w:t>1</w:t>
      </w:r>
      <w:r w:rsidR="004A701C" w:rsidRPr="005649EE">
        <w:rPr>
          <w:rFonts w:asciiTheme="majorBidi" w:hAnsiTheme="majorBidi" w:cstheme="majorBidi"/>
        </w:rPr>
        <w:fldChar w:fldCharType="end"/>
      </w:r>
      <w:r w:rsidRPr="00D41722">
        <w:rPr>
          <w:rFonts w:asciiTheme="majorBidi" w:hAnsiTheme="majorBidi" w:cstheme="majorBidi"/>
          <w:lang w:val="fr-FR"/>
        </w:rPr>
        <w:t xml:space="preserve">: </w:t>
      </w:r>
      <w:r w:rsidR="00E90C73" w:rsidRPr="00D41722">
        <w:rPr>
          <w:rFonts w:asciiTheme="majorBidi" w:hAnsiTheme="majorBidi" w:cstheme="majorBidi"/>
          <w:lang w:val="fr-FR"/>
        </w:rPr>
        <w:t xml:space="preserve">Renseignements relatifs au </w:t>
      </w:r>
      <w:r w:rsidRPr="00D41722">
        <w:rPr>
          <w:rFonts w:asciiTheme="majorBidi" w:hAnsiTheme="majorBidi" w:cstheme="majorBidi"/>
          <w:lang w:val="fr-FR"/>
        </w:rPr>
        <w:t xml:space="preserve">Projet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910"/>
      </w:tblGrid>
      <w:tr w:rsidR="00194A4D" w:rsidRPr="00752AB7" w:rsidTr="00194A4D">
        <w:trPr>
          <w:trHeight w:val="2983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94A4D" w:rsidRPr="009B5CA0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Pays</w:t>
            </w:r>
          </w:p>
          <w:p w:rsidR="00194A4D" w:rsidRPr="00D41722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Nom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du Bénéficiaire</w:t>
            </w:r>
          </w:p>
          <w:p w:rsidR="00194A4D" w:rsidRPr="00D41722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Nom du Projet</w:t>
            </w:r>
          </w:p>
          <w:p w:rsidR="00194A4D" w:rsidRPr="00D41722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Numéro d’ordre du Projet </w:t>
            </w:r>
          </w:p>
          <w:p w:rsidR="00194A4D" w:rsidRPr="00D41722" w:rsidRDefault="00D41722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C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ode du 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Projet (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après </w:t>
            </w:r>
            <w:r w:rsidR="00A959E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son Approbation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  <w:p w:rsidR="00194A4D" w:rsidRPr="00D41722" w:rsidRDefault="00194A4D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 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d’</w:t>
            </w:r>
            <w:r w:rsidR="00A959E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Approbation</w:t>
            </w:r>
            <w:r w:rsidR="00A959EE" w:rsidRPr="00D41722" w:rsidDel="00A959EE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prévue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  <w:p w:rsidR="00194A4D" w:rsidRPr="00D41722" w:rsidRDefault="00194A4D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 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de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Signature (</w:t>
            </w:r>
            <w:r w:rsidR="00A959EE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prévue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  <w:p w:rsidR="00194A4D" w:rsidRPr="00D41722" w:rsidRDefault="00194A4D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Date 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Mise en Vigueur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(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prévue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  <w:p w:rsidR="00194A4D" w:rsidRPr="00D41722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Montant du Financement de la BID</w:t>
            </w:r>
          </w:p>
          <w:p w:rsidR="00194A4D" w:rsidRPr="00D41722" w:rsidRDefault="00194A4D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Mode 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Financement</w:t>
            </w:r>
          </w:p>
          <w:p w:rsidR="00194A4D" w:rsidRPr="00D41722" w:rsidRDefault="00194A4D" w:rsidP="00194A4D">
            <w:pPr>
              <w:keepNext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Agenc</w:t>
            </w:r>
            <w:r w:rsidR="00A95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 d’Exécution</w:t>
            </w:r>
          </w:p>
          <w:p w:rsidR="00194A4D" w:rsidRPr="00D41722" w:rsidRDefault="00A959EE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ate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prévue de l’Avis Général de Passation des Marchés</w:t>
            </w:r>
          </w:p>
          <w:p w:rsidR="00194A4D" w:rsidRPr="00D41722" w:rsidRDefault="00A959EE" w:rsidP="009F5388">
            <w:pPr>
              <w:keepNext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Période de Mise en </w:t>
            </w:r>
            <w:r w:rsidR="00D41722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Œuvre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du Projet</w:t>
            </w:r>
          </w:p>
        </w:tc>
      </w:tr>
      <w:tr w:rsidR="00FE4A55" w:rsidRPr="00752AB7" w:rsidTr="00427172">
        <w:trPr>
          <w:trHeight w:val="247"/>
        </w:trPr>
        <w:tc>
          <w:tcPr>
            <w:tcW w:w="2377" w:type="pct"/>
            <w:tcBorders>
              <w:bottom w:val="single" w:sz="4" w:space="0" w:color="auto"/>
            </w:tcBorders>
          </w:tcPr>
          <w:p w:rsidR="00194A4D" w:rsidRPr="00D41722" w:rsidRDefault="00A959EE" w:rsidP="009B5CA0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Période 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uverte </w:t>
            </w:r>
            <w:r w:rsidR="00D41722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par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le 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plan</w:t>
            </w:r>
            <w:r w:rsidR="00A76B6F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(12 mo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is à compter de l’approbation</w:t>
            </w:r>
            <w:r w:rsidR="00A76B6F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2623" w:type="pct"/>
            <w:tcBorders>
              <w:bottom w:val="single" w:sz="4" w:space="0" w:color="auto"/>
            </w:tcBorders>
          </w:tcPr>
          <w:p w:rsidR="00194A4D" w:rsidRPr="00D41722" w:rsidRDefault="00A959EE" w:rsidP="00752AB7">
            <w:pPr>
              <w:keepNext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Après 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12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mois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, </w:t>
            </w:r>
            <w:r w:rsidR="00752AB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REMOP*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doit être </w:t>
            </w:r>
            <w:r w:rsidR="00752AB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établi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et le </w:t>
            </w:r>
            <w:r w:rsidR="00EF3756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Plan de Passation des Marchés</w:t>
            </w:r>
            <w:r w:rsidR="00194A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doit être mis à jour pour la durée d’exécution restante</w:t>
            </w:r>
          </w:p>
        </w:tc>
      </w:tr>
    </w:tbl>
    <w:bookmarkEnd w:id="4"/>
    <w:p w:rsidR="00752AB7" w:rsidRPr="00752AB7" w:rsidRDefault="00752AB7" w:rsidP="00752AB7">
      <w:pPr>
        <w:ind w:right="173"/>
        <w:rPr>
          <w:rFonts w:asciiTheme="majorBidi" w:hAnsiTheme="majorBidi" w:cstheme="majorBidi"/>
          <w:snapToGrid w:val="0"/>
          <w:sz w:val="20"/>
          <w:szCs w:val="20"/>
          <w:lang w:val="fr-FR"/>
        </w:rPr>
      </w:pPr>
      <w:r>
        <w:rPr>
          <w:rFonts w:asciiTheme="majorBidi" w:hAnsiTheme="majorBidi" w:cstheme="majorBidi"/>
          <w:snapToGrid w:val="0"/>
          <w:sz w:val="20"/>
          <w:szCs w:val="20"/>
          <w:lang w:val="fr-FR"/>
        </w:rPr>
        <w:t>*</w:t>
      </w:r>
      <w:r w:rsidRPr="00752AB7">
        <w:rPr>
          <w:rFonts w:asciiTheme="majorBidi" w:hAnsiTheme="majorBidi" w:cstheme="majorBidi"/>
          <w:snapToGrid w:val="0"/>
          <w:sz w:val="20"/>
          <w:szCs w:val="20"/>
          <w:lang w:val="fr-FR"/>
        </w:rPr>
        <w:t>REMOP : Rapport d'Evaluation de la Mise en Œuvre du Projet</w:t>
      </w:r>
    </w:p>
    <w:p w:rsidR="00FE4A55" w:rsidRPr="00D41722" w:rsidRDefault="00723155" w:rsidP="009B5CA0">
      <w:pPr>
        <w:pStyle w:val="Heading1"/>
        <w:spacing w:before="120" w:after="120"/>
        <w:ind w:left="576" w:hanging="576"/>
        <w:rPr>
          <w:rFonts w:asciiTheme="majorBidi" w:hAnsiTheme="majorBidi"/>
          <w:sz w:val="20"/>
          <w:szCs w:val="20"/>
          <w:lang w:val="fr-FR"/>
        </w:rPr>
      </w:pPr>
      <w:r w:rsidRPr="00D41722">
        <w:rPr>
          <w:rFonts w:asciiTheme="majorBidi" w:hAnsiTheme="majorBidi"/>
          <w:sz w:val="20"/>
          <w:szCs w:val="20"/>
          <w:lang w:val="fr-FR"/>
        </w:rPr>
        <w:t xml:space="preserve">RESUME DES ACQUISITIONS </w:t>
      </w:r>
    </w:p>
    <w:tbl>
      <w:tblPr>
        <w:tblW w:w="5139" w:type="pct"/>
        <w:tblInd w:w="-483" w:type="dxa"/>
        <w:tblLayout w:type="fixed"/>
        <w:tblLook w:val="04A0" w:firstRow="1" w:lastRow="0" w:firstColumn="1" w:lastColumn="0" w:noHBand="0" w:noVBand="1"/>
      </w:tblPr>
      <w:tblGrid>
        <w:gridCol w:w="5475"/>
        <w:gridCol w:w="81"/>
        <w:gridCol w:w="10"/>
        <w:gridCol w:w="1187"/>
        <w:gridCol w:w="823"/>
        <w:gridCol w:w="60"/>
        <w:gridCol w:w="8"/>
        <w:gridCol w:w="133"/>
        <w:gridCol w:w="820"/>
        <w:gridCol w:w="902"/>
        <w:gridCol w:w="121"/>
      </w:tblGrid>
      <w:tr w:rsidR="00FE4A55" w:rsidRPr="00752AB7" w:rsidTr="009B5CA0">
        <w:trPr>
          <w:gridAfter w:val="1"/>
          <w:wAfter w:w="63" w:type="pct"/>
          <w:trHeight w:val="300"/>
        </w:trPr>
        <w:tc>
          <w:tcPr>
            <w:tcW w:w="4937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B5CA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bookmarkStart w:id="5" w:name="_Toc170797386"/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Table</w:t>
            </w:r>
            <w:r w:rsidR="00723155" w:rsidRPr="0072315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au</w:t>
            </w: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="009F5388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: </w:t>
            </w:r>
            <w:r w:rsidR="007231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Résumé des Acquisitions de Biens et Travaux </w:t>
            </w:r>
          </w:p>
        </w:tc>
      </w:tr>
      <w:tr w:rsidR="00FE4A55" w:rsidRPr="00752AB7" w:rsidTr="00752AB7">
        <w:trPr>
          <w:gridAfter w:val="1"/>
          <w:wAfter w:w="63" w:type="pct"/>
          <w:trHeight w:val="270"/>
        </w:trPr>
        <w:tc>
          <w:tcPr>
            <w:tcW w:w="2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9B5CA0" w:rsidRDefault="00FE4A55" w:rsidP="009F538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M</w:t>
            </w:r>
            <w:r w:rsidR="00723155" w:rsidRP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é</w:t>
            </w:r>
            <w:r w:rsidRP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thod</w:t>
            </w:r>
            <w:r w:rsidR="00723155" w:rsidRP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e de Passation</w:t>
            </w:r>
          </w:p>
        </w:tc>
        <w:tc>
          <w:tcPr>
            <w:tcW w:w="112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D41722" w:rsidRDefault="00723155" w:rsidP="007231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 xml:space="preserve">Nombre de Marchés </w:t>
            </w: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D41722" w:rsidRDefault="00723155" w:rsidP="007231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Montant total en Dollar EU</w:t>
            </w:r>
            <w:r w:rsid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 xml:space="preserve"> ($EU)</w:t>
            </w:r>
          </w:p>
        </w:tc>
      </w:tr>
      <w:tr w:rsidR="00E320E5" w:rsidRPr="00752AB7" w:rsidTr="00752AB7">
        <w:trPr>
          <w:gridAfter w:val="1"/>
          <w:wAfter w:w="63" w:type="pct"/>
          <w:trHeight w:val="300"/>
        </w:trPr>
        <w:tc>
          <w:tcPr>
            <w:tcW w:w="28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5" w:rsidRPr="00D41722" w:rsidRDefault="00723155" w:rsidP="005649EE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Appel d’Offres International</w:t>
            </w:r>
            <w:r w:rsidR="00A76B6F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</w:t>
            </w:r>
            <w:r w:rsidR="00D41722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restreint</w:t>
            </w: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aux Pays Membres 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AOI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-</w:t>
            </w: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PM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)</w:t>
            </w:r>
          </w:p>
          <w:p w:rsidR="00E320E5" w:rsidRPr="00D41722" w:rsidRDefault="00723155" w:rsidP="009F5388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Appel d’Offres International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(</w:t>
            </w: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AOI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)</w:t>
            </w:r>
          </w:p>
          <w:p w:rsidR="00E320E5" w:rsidRPr="00D41722" w:rsidRDefault="00723155" w:rsidP="009F5388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 w:rsidRPr="0088633D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Appel d’Offres International</w:t>
            </w: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Restreint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AOIR</w:t>
            </w:r>
            <w:r w:rsidR="00554721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)</w:t>
            </w:r>
          </w:p>
          <w:p w:rsidR="00E320E5" w:rsidRPr="00D41722" w:rsidRDefault="0072315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88633D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Appel d’Offres </w:t>
            </w: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N</w:t>
            </w:r>
            <w:r w:rsidRPr="0088633D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ational</w:t>
            </w:r>
            <w:r w:rsidRPr="00D41722" w:rsidDel="00723155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</w:t>
            </w:r>
            <w:r w:rsidR="00E320E5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(</w:t>
            </w: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AON</w:t>
            </w:r>
            <w:r w:rsidR="00E320E5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)</w:t>
            </w:r>
          </w:p>
          <w:p w:rsidR="00A76B6F" w:rsidRPr="00D41722" w:rsidRDefault="00723155" w:rsidP="00A76B6F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Consultation </w:t>
            </w:r>
            <w:r w:rsidR="00867923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à l’échelon</w:t>
            </w: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international</w:t>
            </w:r>
          </w:p>
          <w:p w:rsidR="00723155" w:rsidRPr="0088633D" w:rsidRDefault="00723155" w:rsidP="00723155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 w:rsidRPr="0088633D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Consultation </w:t>
            </w:r>
            <w:r w:rsidR="00867923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à l’échelon</w:t>
            </w:r>
            <w:r w:rsidR="00867923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</w:t>
            </w:r>
            <w:r w:rsidRPr="0088633D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national</w:t>
            </w:r>
          </w:p>
          <w:p w:rsidR="00E320E5" w:rsidRPr="00D41722" w:rsidRDefault="00723155" w:rsidP="009F5388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Entente directe ou gré-à-gré </w:t>
            </w:r>
          </w:p>
          <w:p w:rsidR="00E320E5" w:rsidRPr="00D41722" w:rsidRDefault="00867923" w:rsidP="009F5388">
            <w:pP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Travaux</w:t>
            </w:r>
            <w:r w:rsidR="00723155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en régie</w:t>
            </w:r>
          </w:p>
          <w:p w:rsidR="00E320E5" w:rsidRPr="00D41722" w:rsidRDefault="00E320E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>Participation</w:t>
            </w:r>
            <w:r w:rsidR="00723155" w:rsidRPr="00D41722">
              <w:rPr>
                <w:rFonts w:asciiTheme="majorBidi" w:hAnsiTheme="majorBidi" w:cstheme="majorBidi"/>
                <w:snapToGrid w:val="0"/>
                <w:sz w:val="20"/>
                <w:szCs w:val="20"/>
                <w:lang w:val="fr-FR"/>
              </w:rPr>
              <w:t xml:space="preserve"> communautaire</w:t>
            </w:r>
          </w:p>
        </w:tc>
        <w:tc>
          <w:tcPr>
            <w:tcW w:w="1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E320E5" w:rsidRPr="00752AB7" w:rsidTr="00752AB7">
        <w:trPr>
          <w:gridAfter w:val="1"/>
          <w:wAfter w:w="63" w:type="pct"/>
          <w:trHeight w:val="300"/>
        </w:trPr>
        <w:tc>
          <w:tcPr>
            <w:tcW w:w="2846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E5" w:rsidRPr="00D41722" w:rsidRDefault="00E320E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1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E320E5" w:rsidRPr="00752AB7" w:rsidTr="00752AB7">
        <w:trPr>
          <w:gridAfter w:val="1"/>
          <w:wAfter w:w="63" w:type="pct"/>
          <w:trHeight w:val="315"/>
        </w:trPr>
        <w:tc>
          <w:tcPr>
            <w:tcW w:w="2846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12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20E5" w:rsidRPr="00D41722" w:rsidRDefault="00E320E5" w:rsidP="009F5388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FE4A55" w:rsidRPr="00752AB7" w:rsidTr="00752AB7">
        <w:trPr>
          <w:gridAfter w:val="1"/>
          <w:wAfter w:w="63" w:type="pct"/>
          <w:trHeight w:val="270"/>
        </w:trPr>
        <w:tc>
          <w:tcPr>
            <w:tcW w:w="28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723155" w:rsidP="009B5CA0">
            <w:pPr>
              <w:spacing w:before="120" w:after="120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Sous-total Biens et Travaux</w:t>
            </w:r>
          </w:p>
        </w:tc>
        <w:tc>
          <w:tcPr>
            <w:tcW w:w="112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E4A55" w:rsidRPr="00752AB7" w:rsidTr="009B5CA0">
        <w:trPr>
          <w:gridAfter w:val="1"/>
          <w:wAfter w:w="63" w:type="pct"/>
          <w:trHeight w:val="300"/>
        </w:trPr>
        <w:tc>
          <w:tcPr>
            <w:tcW w:w="4937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9F5388" w:rsidP="009B5CA0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Table</w:t>
            </w:r>
            <w:r w:rsidR="007231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au</w:t>
            </w: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3</w:t>
            </w:r>
            <w:r w:rsidR="00FE4A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23155" w:rsidRPr="0088633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Résumé des Acquisitions </w:t>
            </w:r>
            <w:r w:rsidR="007231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</w:t>
            </w:r>
            <w:r w:rsidR="0072315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664DF3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Services</w:t>
            </w:r>
            <w:r w:rsidR="0072315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de Consultants</w:t>
            </w:r>
            <w:r w:rsidR="00664DF3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/</w:t>
            </w:r>
            <w:r w:rsidR="00FE4A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Assistance</w:t>
            </w:r>
            <w:r w:rsidR="00723155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technique</w:t>
            </w:r>
          </w:p>
        </w:tc>
      </w:tr>
      <w:tr w:rsidR="00FE4A55" w:rsidRPr="00752AB7" w:rsidTr="009B5CA0">
        <w:trPr>
          <w:trHeight w:val="270"/>
        </w:trPr>
        <w:tc>
          <w:tcPr>
            <w:tcW w:w="28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D41722" w:rsidRDefault="00CE6431" w:rsidP="007231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M</w:t>
            </w:r>
            <w:r w:rsidR="00723155"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é</w:t>
            </w: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thod</w:t>
            </w:r>
            <w:r w:rsidR="00723155"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e</w:t>
            </w: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 xml:space="preserve"> </w:t>
            </w:r>
            <w:r w:rsidR="00723155"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 xml:space="preserve">de </w:t>
            </w:r>
            <w:r w:rsidR="0070114D" w:rsidRPr="0070114D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préparation</w:t>
            </w:r>
            <w:r w:rsidR="00723155"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 xml:space="preserve"> de la liste restreinte</w:t>
            </w:r>
            <w:r w:rsidRPr="00D41722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vertAlign w:val="superscript"/>
                <w:lang w:val="fr-FR"/>
              </w:rPr>
              <w:t>*</w:t>
            </w:r>
          </w:p>
        </w:tc>
        <w:tc>
          <w:tcPr>
            <w:tcW w:w="115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9B5CA0" w:rsidRDefault="00723155" w:rsidP="009F538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9B5CA0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Nombre de marchés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4A55" w:rsidRPr="00D41722" w:rsidRDefault="00723155" w:rsidP="009F538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8633D">
              <w:rPr>
                <w:rFonts w:asciiTheme="majorBidi" w:hAnsiTheme="majorBidi" w:cstheme="majorBidi"/>
                <w:b/>
                <w:bCs/>
                <w:snapToGrid w:val="0"/>
                <w:sz w:val="20"/>
                <w:szCs w:val="20"/>
                <w:lang w:val="fr-FR"/>
              </w:rPr>
              <w:t>Montant total en Dollar EU</w:t>
            </w:r>
          </w:p>
        </w:tc>
      </w:tr>
      <w:tr w:rsidR="00752AB7" w:rsidRPr="00D41722" w:rsidTr="00752AB7">
        <w:trPr>
          <w:trHeight w:val="334"/>
        </w:trPr>
        <w:tc>
          <w:tcPr>
            <w:tcW w:w="28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Firmes internationales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02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752AB7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752AB7" w:rsidRPr="00D41722" w:rsidTr="00752AB7">
        <w:trPr>
          <w:trHeight w:val="334"/>
        </w:trPr>
        <w:tc>
          <w:tcPr>
            <w:tcW w:w="28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Firmes de Pays </w:t>
            </w:r>
            <w:r w:rsidRPr="00723155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Membres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02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752AB7" w:rsidRPr="00D41722" w:rsidTr="00752AB7">
        <w:trPr>
          <w:trHeight w:val="334"/>
        </w:trPr>
        <w:tc>
          <w:tcPr>
            <w:tcW w:w="289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Firmes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n</w:t>
            </w:r>
            <w:r w:rsidRPr="0088633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ational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es</w:t>
            </w:r>
          </w:p>
        </w:tc>
        <w:tc>
          <w:tcPr>
            <w:tcW w:w="108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  <w:tc>
          <w:tcPr>
            <w:tcW w:w="102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52AB7" w:rsidRPr="00D41722" w:rsidRDefault="00752AB7" w:rsidP="00CE6431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  <w:tr w:rsidR="00FE4A55" w:rsidRPr="00752AB7" w:rsidTr="009B5CA0">
        <w:trPr>
          <w:trHeight w:val="300"/>
        </w:trPr>
        <w:tc>
          <w:tcPr>
            <w:tcW w:w="288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723155" w:rsidP="0072315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8633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Sous-total</w:t>
            </w:r>
            <w:r w:rsidR="00FE4A55"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Services de </w:t>
            </w: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Consultants </w:t>
            </w:r>
            <w:r w:rsidR="0070114D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Assistance technique </w:t>
            </w:r>
          </w:p>
        </w:tc>
        <w:tc>
          <w:tcPr>
            <w:tcW w:w="115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FE4A55" w:rsidRPr="00752AB7" w:rsidTr="009B5CA0">
        <w:trPr>
          <w:gridAfter w:val="1"/>
          <w:wAfter w:w="63" w:type="pct"/>
          <w:trHeight w:val="300"/>
        </w:trPr>
        <w:tc>
          <w:tcPr>
            <w:tcW w:w="393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28646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 </w:t>
            </w:r>
          </w:p>
        </w:tc>
        <w:tc>
          <w:tcPr>
            <w:tcW w:w="53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D41722" w:rsidRDefault="00FE4A55" w:rsidP="009F538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 </w:t>
            </w:r>
          </w:p>
        </w:tc>
      </w:tr>
      <w:tr w:rsidR="00FE4A55" w:rsidRPr="005649EE" w:rsidTr="00752AB7">
        <w:trPr>
          <w:trHeight w:val="300"/>
        </w:trPr>
        <w:tc>
          <w:tcPr>
            <w:tcW w:w="351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9B5CA0" w:rsidRDefault="0070114D" w:rsidP="0070114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9B5CA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Montant t</w:t>
            </w:r>
            <w:r w:rsidR="00FE4A55" w:rsidRPr="009B5CA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otal </w:t>
            </w:r>
            <w:r w:rsidRPr="009B5CA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 Marchés</w:t>
            </w:r>
            <w:r w:rsidR="00FE4A55" w:rsidRPr="009B5CA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3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5649EE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A55" w:rsidRPr="005649EE" w:rsidRDefault="00FE4A55" w:rsidP="009F538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E4A55" w:rsidRPr="00194A4D" w:rsidRDefault="00FE4A55" w:rsidP="009F5388">
      <w:pPr>
        <w:rPr>
          <w:rFonts w:asciiTheme="majorBidi" w:eastAsiaTheme="majorEastAsia" w:hAnsiTheme="majorBidi" w:cstheme="majorBidi"/>
          <w:color w:val="365F91" w:themeColor="accent1" w:themeShade="BF"/>
          <w:sz w:val="22"/>
          <w:szCs w:val="22"/>
        </w:rPr>
      </w:pPr>
      <w:r w:rsidRPr="00194A4D">
        <w:rPr>
          <w:rFonts w:asciiTheme="majorBidi" w:hAnsiTheme="majorBidi" w:cstheme="majorBidi"/>
          <w:sz w:val="22"/>
          <w:szCs w:val="22"/>
        </w:rPr>
        <w:br w:type="page"/>
      </w:r>
    </w:p>
    <w:p w:rsidR="00FE4A55" w:rsidRPr="005649EE" w:rsidRDefault="00FE4A55" w:rsidP="00FE4A55">
      <w:pPr>
        <w:pStyle w:val="Heading1"/>
        <w:spacing w:before="240" w:after="240"/>
        <w:ind w:left="576" w:hanging="576"/>
        <w:rPr>
          <w:rFonts w:asciiTheme="majorBidi" w:hAnsiTheme="majorBidi"/>
          <w:sz w:val="20"/>
          <w:szCs w:val="20"/>
        </w:rPr>
      </w:pPr>
      <w:r w:rsidRPr="005649EE">
        <w:rPr>
          <w:rFonts w:asciiTheme="majorBidi" w:hAnsiTheme="majorBidi"/>
          <w:sz w:val="20"/>
          <w:szCs w:val="20"/>
        </w:rPr>
        <w:lastRenderedPageBreak/>
        <w:t xml:space="preserve">DESCRIPTION </w:t>
      </w:r>
      <w:bookmarkEnd w:id="5"/>
      <w:r w:rsidR="0070114D">
        <w:rPr>
          <w:rFonts w:asciiTheme="majorBidi" w:hAnsiTheme="majorBidi"/>
          <w:sz w:val="20"/>
          <w:szCs w:val="20"/>
        </w:rPr>
        <w:t>DES MARCHES</w:t>
      </w: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E4A55" w:rsidRPr="005649EE" w:rsidTr="00427172">
        <w:trPr>
          <w:trHeight w:val="288"/>
          <w:tblCellSpacing w:w="20" w:type="dxa"/>
        </w:trPr>
        <w:tc>
          <w:tcPr>
            <w:tcW w:w="4954" w:type="pct"/>
            <w:shd w:val="clear" w:color="auto" w:fill="E6E6E6"/>
            <w:vAlign w:val="center"/>
          </w:tcPr>
          <w:p w:rsidR="00FE4A55" w:rsidRPr="009B5CA0" w:rsidRDefault="00FE4A55" w:rsidP="00427172">
            <w:pP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9B5CA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Description</w:t>
            </w:r>
            <w:r w:rsidR="0070114D" w:rsidRPr="009B5CA0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des Marchés</w:t>
            </w:r>
          </w:p>
        </w:tc>
      </w:tr>
      <w:tr w:rsidR="00FE4A55" w:rsidRPr="00752AB7" w:rsidTr="00427172">
        <w:trPr>
          <w:trHeight w:val="388"/>
          <w:tblCellSpacing w:w="20" w:type="dxa"/>
        </w:trPr>
        <w:tc>
          <w:tcPr>
            <w:tcW w:w="4954" w:type="pct"/>
            <w:shd w:val="clear" w:color="auto" w:fill="auto"/>
          </w:tcPr>
          <w:p w:rsidR="00FE4A55" w:rsidRPr="00D41722" w:rsidRDefault="0070114D" w:rsidP="0070114D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La 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list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des Marchés à passer est fournie à titre indicative dans </w:t>
            </w:r>
            <w:r w:rsidR="00E320E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Table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au</w:t>
            </w:r>
            <w:r w:rsidR="00E320E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="00FE4A55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4 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ci-dessous, y compris la méthode de passation correspondante et la date prévue de publication de l’avis d’appel d’offres.</w:t>
            </w:r>
          </w:p>
        </w:tc>
      </w:tr>
    </w:tbl>
    <w:p w:rsidR="00FE4A55" w:rsidRPr="00D41722" w:rsidRDefault="00FE4A55" w:rsidP="009B5CA0">
      <w:pPr>
        <w:pStyle w:val="Caption"/>
        <w:keepNext/>
        <w:spacing w:after="0"/>
        <w:jc w:val="center"/>
        <w:rPr>
          <w:rFonts w:asciiTheme="majorBidi" w:hAnsiTheme="majorBidi" w:cstheme="majorBidi"/>
          <w:lang w:val="fr-FR"/>
        </w:rPr>
      </w:pPr>
      <w:bookmarkStart w:id="6" w:name="_Toc170797387"/>
      <w:r w:rsidRPr="00D41722">
        <w:rPr>
          <w:rFonts w:asciiTheme="majorBidi" w:hAnsiTheme="majorBidi" w:cstheme="majorBidi"/>
          <w:lang w:val="fr-FR"/>
        </w:rPr>
        <w:t>Table</w:t>
      </w:r>
      <w:r w:rsidR="0070114D" w:rsidRPr="0070114D">
        <w:rPr>
          <w:rFonts w:asciiTheme="majorBidi" w:hAnsiTheme="majorBidi" w:cstheme="majorBidi"/>
          <w:lang w:val="fr-FR"/>
        </w:rPr>
        <w:t>au</w:t>
      </w:r>
      <w:r w:rsidRPr="00D41722">
        <w:rPr>
          <w:rFonts w:asciiTheme="majorBidi" w:hAnsiTheme="majorBidi" w:cstheme="majorBidi"/>
          <w:lang w:val="fr-FR"/>
        </w:rPr>
        <w:t xml:space="preserve"> </w:t>
      </w:r>
      <w:r w:rsidR="009F5388" w:rsidRPr="00D41722">
        <w:rPr>
          <w:rFonts w:asciiTheme="majorBidi" w:hAnsiTheme="majorBidi" w:cstheme="majorBidi"/>
          <w:lang w:val="fr-FR"/>
        </w:rPr>
        <w:t>4</w:t>
      </w:r>
      <w:r w:rsidRPr="00D41722">
        <w:rPr>
          <w:rFonts w:asciiTheme="majorBidi" w:hAnsiTheme="majorBidi" w:cstheme="majorBidi"/>
          <w:lang w:val="fr-FR"/>
        </w:rPr>
        <w:t xml:space="preserve"> - </w:t>
      </w:r>
      <w:r w:rsidR="009B5CA0" w:rsidRPr="00D41722">
        <w:rPr>
          <w:rFonts w:asciiTheme="majorBidi" w:hAnsiTheme="majorBidi" w:cstheme="majorBidi"/>
          <w:lang w:val="fr-FR"/>
        </w:rPr>
        <w:t>Liste</w:t>
      </w:r>
      <w:r w:rsidRPr="00D41722">
        <w:rPr>
          <w:rFonts w:asciiTheme="majorBidi" w:hAnsiTheme="majorBidi" w:cstheme="majorBidi"/>
          <w:lang w:val="fr-FR"/>
        </w:rPr>
        <w:t xml:space="preserve"> </w:t>
      </w:r>
      <w:r w:rsidR="0070114D" w:rsidRPr="00D41722">
        <w:rPr>
          <w:rFonts w:asciiTheme="majorBidi" w:hAnsiTheme="majorBidi" w:cstheme="majorBidi"/>
          <w:lang w:val="fr-FR"/>
        </w:rPr>
        <w:t>i</w:t>
      </w:r>
      <w:r w:rsidRPr="00D41722">
        <w:rPr>
          <w:rFonts w:asciiTheme="majorBidi" w:hAnsiTheme="majorBidi" w:cstheme="majorBidi"/>
          <w:lang w:val="fr-FR"/>
        </w:rPr>
        <w:t xml:space="preserve">ndicative </w:t>
      </w:r>
      <w:r w:rsidR="0070114D" w:rsidRPr="00D41722">
        <w:rPr>
          <w:rFonts w:asciiTheme="majorBidi" w:hAnsiTheme="majorBidi" w:cstheme="majorBidi"/>
          <w:lang w:val="fr-FR"/>
        </w:rPr>
        <w:t>des Marchés</w:t>
      </w:r>
      <w:r w:rsidRPr="00D41722">
        <w:rPr>
          <w:rFonts w:asciiTheme="majorBidi" w:hAnsiTheme="majorBidi" w:cstheme="majorBidi"/>
          <w:lang w:val="fr-FR"/>
        </w:rPr>
        <w:t xml:space="preserve"> </w:t>
      </w:r>
      <w:r w:rsidR="0070114D">
        <w:rPr>
          <w:rFonts w:asciiTheme="majorBidi" w:hAnsiTheme="majorBidi" w:cstheme="majorBidi"/>
          <w:lang w:val="fr-FR"/>
        </w:rPr>
        <w:t>éléments financés par la BID</w:t>
      </w:r>
      <w:r w:rsidRPr="00D41722">
        <w:rPr>
          <w:rFonts w:asciiTheme="majorBidi" w:hAnsiTheme="majorBidi" w:cstheme="majorBidi"/>
          <w:lang w:val="fr-FR"/>
        </w:rPr>
        <w:t xml:space="preserve"> items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94"/>
        <w:gridCol w:w="850"/>
        <w:gridCol w:w="2342"/>
        <w:gridCol w:w="967"/>
        <w:gridCol w:w="1270"/>
        <w:gridCol w:w="1182"/>
        <w:gridCol w:w="1445"/>
      </w:tblGrid>
      <w:tr w:rsidR="009B5CA0" w:rsidRPr="005649EE" w:rsidTr="00A76B6F">
        <w:tc>
          <w:tcPr>
            <w:tcW w:w="620" w:type="pct"/>
          </w:tcPr>
          <w:p w:rsidR="009F5388" w:rsidRPr="00D41722" w:rsidRDefault="0070114D" w:rsidP="009F5388">
            <w:pPr>
              <w:ind w:right="-106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Compo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sa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nt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</w:t>
            </w: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du Projet</w:t>
            </w:r>
          </w:p>
          <w:p w:rsidR="00A76B6F" w:rsidRPr="00D41722" w:rsidRDefault="00A76B6F" w:rsidP="0070114D">
            <w:pPr>
              <w:ind w:right="-106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(</w:t>
            </w:r>
            <w:r w:rsidR="0070114D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selon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</w:t>
            </w:r>
            <w:r w:rsidRPr="00752AB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RRP</w:t>
            </w:r>
            <w:r w:rsidR="00752AB7" w:rsidRPr="00752AB7">
              <w:rPr>
                <w:rFonts w:asciiTheme="majorBidi" w:hAnsiTheme="majorBidi" w:cstheme="majorBidi"/>
                <w:sz w:val="20"/>
                <w:szCs w:val="20"/>
                <w:vertAlign w:val="superscript"/>
                <w:lang w:val="fr-FR"/>
              </w:rPr>
              <w:t>1</w:t>
            </w:r>
            <w:r w:rsidRPr="00752AB7">
              <w:rPr>
                <w:rFonts w:asciiTheme="majorBidi" w:hAnsiTheme="majorBidi" w:cstheme="majorBidi"/>
                <w:sz w:val="20"/>
                <w:szCs w:val="20"/>
                <w:lang w:val="fr-FR"/>
              </w:rPr>
              <w:t>)</w:t>
            </w:r>
          </w:p>
        </w:tc>
        <w:tc>
          <w:tcPr>
            <w:tcW w:w="509" w:type="pct"/>
          </w:tcPr>
          <w:p w:rsidR="009F5388" w:rsidRPr="00D41722" w:rsidRDefault="0070114D" w:rsidP="00427172">
            <w:pPr>
              <w:ind w:right="-106"/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Dossier d’appel d’offres</w:t>
            </w:r>
            <w:r w:rsidR="005649EE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#</w:t>
            </w:r>
          </w:p>
        </w:tc>
        <w:tc>
          <w:tcPr>
            <w:tcW w:w="1318" w:type="pct"/>
          </w:tcPr>
          <w:p w:rsidR="009F5388" w:rsidRPr="00D41722" w:rsidRDefault="009F5388" w:rsidP="0070114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Type </w:t>
            </w:r>
            <w:r w:rsidR="007011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et </w:t>
            </w:r>
            <w:r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Description </w:t>
            </w:r>
            <w:r w:rsidR="0070114D" w:rsidRPr="00D41722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du (des) Marché(s)</w:t>
            </w:r>
          </w:p>
        </w:tc>
        <w:tc>
          <w:tcPr>
            <w:tcW w:w="496" w:type="pct"/>
          </w:tcPr>
          <w:p w:rsidR="009F5388" w:rsidRPr="005649EE" w:rsidRDefault="00A76B6F" w:rsidP="0070114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9EE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9F5388" w:rsidRPr="005649EE">
              <w:rPr>
                <w:rFonts w:asciiTheme="majorBidi" w:hAnsiTheme="majorBidi" w:cstheme="majorBidi"/>
                <w:sz w:val="20"/>
                <w:szCs w:val="20"/>
              </w:rPr>
              <w:t>udget $</w:t>
            </w:r>
            <w:r w:rsidR="0070114D">
              <w:rPr>
                <w:rFonts w:asciiTheme="majorBidi" w:hAnsiTheme="majorBidi" w:cstheme="majorBidi"/>
                <w:sz w:val="20"/>
                <w:szCs w:val="20"/>
              </w:rPr>
              <w:t>EU</w:t>
            </w:r>
            <w:r w:rsidR="009F5388" w:rsidRPr="005649E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739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M</w:t>
            </w:r>
            <w:r w:rsidR="0070114D"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é</w:t>
            </w:r>
            <w:r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thod</w:t>
            </w:r>
            <w:r w:rsidR="0070114D"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e</w:t>
            </w:r>
            <w:r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s </w:t>
            </w:r>
            <w:r w:rsidR="0070114D" w:rsidRPr="009B5CA0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de passation</w:t>
            </w:r>
            <w:r w:rsidR="00CE6431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2" w:type="pct"/>
          </w:tcPr>
          <w:p w:rsidR="009F5388" w:rsidRPr="005649EE" w:rsidRDefault="0070114D" w:rsidP="00427172">
            <w:pPr>
              <w:tabs>
                <w:tab w:val="left" w:pos="1290"/>
              </w:tabs>
              <w:ind w:righ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Date prevue de publication</w:t>
            </w:r>
            <w:r w:rsidR="009F5388" w:rsidRPr="005649E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:rsidR="009F5388" w:rsidRPr="005649EE" w:rsidRDefault="0070114D" w:rsidP="0070114D">
            <w:pPr>
              <w:tabs>
                <w:tab w:val="left" w:pos="12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Observations</w:t>
            </w: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1421F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649E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4271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4271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4271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4271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5CA0" w:rsidRPr="005649EE" w:rsidTr="00A76B6F">
        <w:tblPrEx>
          <w:tblLook w:val="04A0" w:firstRow="1" w:lastRow="0" w:firstColumn="1" w:lastColumn="0" w:noHBand="0" w:noVBand="1"/>
        </w:tblPrEx>
        <w:tc>
          <w:tcPr>
            <w:tcW w:w="620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8" w:type="pct"/>
            <w:vAlign w:val="center"/>
          </w:tcPr>
          <w:p w:rsidR="009F5388" w:rsidRPr="005649EE" w:rsidRDefault="009F5388" w:rsidP="0042717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26" w:type="pct"/>
          </w:tcPr>
          <w:p w:rsidR="009F5388" w:rsidRPr="005649EE" w:rsidRDefault="009F5388" w:rsidP="0042717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752AB7" w:rsidRDefault="00752AB7" w:rsidP="00752AB7">
      <w:pPr>
        <w:rPr>
          <w:rFonts w:asciiTheme="majorBidi" w:hAnsiTheme="majorBidi" w:cstheme="majorBidi"/>
          <w:sz w:val="20"/>
          <w:szCs w:val="20"/>
          <w:lang w:val="fr-FR"/>
        </w:rPr>
      </w:pPr>
      <w:r w:rsidRPr="00752AB7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1</w:t>
      </w:r>
      <w:r w:rsidRPr="00752AB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RRP : </w:t>
      </w:r>
      <w:r w:rsidRPr="00752AB7">
        <w:rPr>
          <w:rFonts w:asciiTheme="majorBidi" w:hAnsiTheme="majorBidi" w:cstheme="majorBidi"/>
          <w:sz w:val="20"/>
          <w:szCs w:val="20"/>
          <w:lang w:val="fr-FR"/>
        </w:rPr>
        <w:t>Rapport et Recommandation du Président</w:t>
      </w:r>
    </w:p>
    <w:p w:rsidR="00FE4A55" w:rsidRPr="00D41722" w:rsidRDefault="0070114D" w:rsidP="00FE4A55">
      <w:pPr>
        <w:rPr>
          <w:rFonts w:asciiTheme="majorBidi" w:hAnsiTheme="majorBidi" w:cstheme="majorBidi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SO 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 xml:space="preserve">=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Sans Objet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 xml:space="preserve">,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AON 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 xml:space="preserve">=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Appel d’Offres 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 xml:space="preserve">National,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867923">
        <w:rPr>
          <w:rFonts w:asciiTheme="majorBidi" w:hAnsiTheme="majorBidi" w:cstheme="majorBidi"/>
          <w:sz w:val="20"/>
          <w:szCs w:val="20"/>
          <w:lang w:val="fr-FR"/>
        </w:rPr>
        <w:t>B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QC 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>= S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é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>lection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867923">
        <w:rPr>
          <w:rFonts w:asciiTheme="majorBidi" w:hAnsiTheme="majorBidi" w:cstheme="majorBidi"/>
          <w:sz w:val="20"/>
          <w:szCs w:val="20"/>
          <w:lang w:val="fr-FR"/>
        </w:rPr>
        <w:t>Bas</w:t>
      </w:r>
      <w:r>
        <w:rPr>
          <w:rFonts w:asciiTheme="majorBidi" w:hAnsiTheme="majorBidi" w:cstheme="majorBidi"/>
          <w:sz w:val="20"/>
          <w:szCs w:val="20"/>
          <w:lang w:val="fr-FR"/>
        </w:rPr>
        <w:t>ée sur la Qualité et le Coût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>.</w:t>
      </w:r>
    </w:p>
    <w:p w:rsidR="000E0573" w:rsidRPr="00D41722" w:rsidRDefault="00CE6431" w:rsidP="00CE6431">
      <w:pPr>
        <w:rPr>
          <w:rFonts w:asciiTheme="majorBidi" w:hAnsiTheme="majorBidi" w:cstheme="majorBidi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z w:val="20"/>
          <w:szCs w:val="20"/>
          <w:vertAlign w:val="superscript"/>
          <w:lang w:val="fr-FR"/>
        </w:rPr>
        <w:t>*</w:t>
      </w:r>
      <w:r w:rsidR="00FE4A55" w:rsidRPr="00D4172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M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>é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thod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>e de Passation utilisées à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 xml:space="preserve">mentionner </w:t>
      </w:r>
      <w:r w:rsidR="005E00A4">
        <w:rPr>
          <w:rFonts w:asciiTheme="majorBidi" w:hAnsiTheme="majorBidi" w:cstheme="majorBidi"/>
          <w:sz w:val="20"/>
          <w:szCs w:val="20"/>
          <w:lang w:val="fr-FR"/>
        </w:rPr>
        <w:t>dans le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 Table</w:t>
      </w:r>
      <w:r w:rsidR="005E00A4">
        <w:rPr>
          <w:rFonts w:asciiTheme="majorBidi" w:hAnsiTheme="majorBidi" w:cstheme="majorBidi"/>
          <w:sz w:val="20"/>
          <w:szCs w:val="20"/>
          <w:lang w:val="fr-FR"/>
        </w:rPr>
        <w:t>au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 4</w:t>
      </w:r>
      <w:bookmarkEnd w:id="6"/>
    </w:p>
    <w:p w:rsidR="00CE6431" w:rsidRPr="00D41722" w:rsidRDefault="005E00A4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88633D">
        <w:rPr>
          <w:rFonts w:asciiTheme="majorBidi" w:hAnsiTheme="majorBidi" w:cstheme="majorBidi"/>
          <w:sz w:val="20"/>
          <w:szCs w:val="20"/>
          <w:lang w:val="fr-FR"/>
        </w:rPr>
        <w:t>Sélection</w:t>
      </w:r>
      <w:r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="00867923">
        <w:rPr>
          <w:rFonts w:asciiTheme="majorBidi" w:hAnsiTheme="majorBidi" w:cstheme="majorBidi"/>
          <w:sz w:val="20"/>
          <w:szCs w:val="20"/>
          <w:lang w:val="fr-FR"/>
        </w:rPr>
        <w:t xml:space="preserve">Basée sur </w:t>
      </w:r>
      <w:r>
        <w:rPr>
          <w:rFonts w:asciiTheme="majorBidi" w:hAnsiTheme="majorBidi" w:cstheme="majorBidi"/>
          <w:sz w:val="20"/>
          <w:szCs w:val="20"/>
          <w:lang w:val="fr-FR"/>
        </w:rPr>
        <w:t>la Qualité et le Coût</w:t>
      </w:r>
      <w:r w:rsidRPr="00D41722" w:rsidDel="005E00A4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 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(</w:t>
      </w:r>
      <w:r>
        <w:rPr>
          <w:rFonts w:asciiTheme="majorBidi" w:hAnsiTheme="majorBidi" w:cstheme="majorBidi"/>
          <w:snapToGrid w:val="0"/>
          <w:sz w:val="20"/>
          <w:szCs w:val="20"/>
          <w:lang w:val="fr-FR"/>
        </w:rPr>
        <w:t>S</w:t>
      </w:r>
      <w:r w:rsidR="00867923">
        <w:rPr>
          <w:rFonts w:asciiTheme="majorBidi" w:hAnsiTheme="majorBidi" w:cstheme="majorBidi"/>
          <w:snapToGrid w:val="0"/>
          <w:sz w:val="20"/>
          <w:szCs w:val="20"/>
          <w:lang w:val="fr-FR"/>
        </w:rPr>
        <w:t>B</w:t>
      </w:r>
      <w:r>
        <w:rPr>
          <w:rFonts w:asciiTheme="majorBidi" w:hAnsiTheme="majorBidi" w:cstheme="majorBidi"/>
          <w:snapToGrid w:val="0"/>
          <w:sz w:val="20"/>
          <w:szCs w:val="20"/>
          <w:lang w:val="fr-FR"/>
        </w:rPr>
        <w:t>QC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)</w:t>
      </w:r>
    </w:p>
    <w:p w:rsidR="00CE6431" w:rsidRPr="00D41722" w:rsidRDefault="00CE6431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>é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lection </w:t>
      </w:r>
      <w:r w:rsidR="00867923">
        <w:rPr>
          <w:rFonts w:asciiTheme="majorBidi" w:hAnsiTheme="majorBidi" w:cstheme="majorBidi"/>
          <w:sz w:val="20"/>
          <w:szCs w:val="20"/>
          <w:lang w:val="fr-FR"/>
        </w:rPr>
        <w:t>Bas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 xml:space="preserve">ée sur la Qualité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(</w:t>
      </w:r>
      <w:r w:rsidR="005E00A4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867923">
        <w:rPr>
          <w:rFonts w:asciiTheme="majorBidi" w:hAnsiTheme="majorBidi" w:cstheme="majorBidi"/>
          <w:sz w:val="20"/>
          <w:szCs w:val="20"/>
          <w:lang w:val="fr-FR"/>
        </w:rPr>
        <w:t>B</w:t>
      </w:r>
      <w:r w:rsidR="005E00A4">
        <w:rPr>
          <w:rFonts w:asciiTheme="majorBidi" w:hAnsiTheme="majorBidi" w:cstheme="majorBidi"/>
          <w:sz w:val="20"/>
          <w:szCs w:val="20"/>
          <w:lang w:val="fr-FR"/>
        </w:rPr>
        <w:t>Q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)</w:t>
      </w:r>
    </w:p>
    <w:p w:rsidR="00CE6431" w:rsidRPr="00D41722" w:rsidRDefault="00CE6431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z w:val="20"/>
          <w:szCs w:val="20"/>
          <w:lang w:val="fr-FR"/>
        </w:rPr>
        <w:t>S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>é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 xml:space="preserve">lection </w:t>
      </w:r>
      <w:r w:rsidR="005E00A4" w:rsidRPr="00D41722">
        <w:rPr>
          <w:rFonts w:asciiTheme="majorBidi" w:hAnsiTheme="majorBidi" w:cstheme="majorBidi"/>
          <w:sz w:val="20"/>
          <w:szCs w:val="20"/>
          <w:lang w:val="fr-FR"/>
        </w:rPr>
        <w:t xml:space="preserve">au Moindre Coût 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(</w:t>
      </w:r>
      <w:r w:rsidR="005E00A4">
        <w:rPr>
          <w:rFonts w:asciiTheme="majorBidi" w:hAnsiTheme="majorBidi" w:cstheme="majorBidi"/>
          <w:sz w:val="20"/>
          <w:szCs w:val="20"/>
          <w:lang w:val="fr-FR"/>
        </w:rPr>
        <w:t>SMC</w:t>
      </w:r>
      <w:r w:rsidRPr="00D41722">
        <w:rPr>
          <w:rFonts w:asciiTheme="majorBidi" w:hAnsiTheme="majorBidi" w:cstheme="majorBidi"/>
          <w:sz w:val="20"/>
          <w:szCs w:val="20"/>
          <w:lang w:val="fr-FR"/>
        </w:rPr>
        <w:t>)</w:t>
      </w:r>
    </w:p>
    <w:p w:rsidR="00CE6431" w:rsidRPr="00D41722" w:rsidRDefault="005E00A4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napToGrid w:val="0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Sélection </w:t>
      </w:r>
      <w:r w:rsidR="00867923">
        <w:rPr>
          <w:rFonts w:asciiTheme="majorBidi" w:hAnsiTheme="majorBidi" w:cstheme="majorBidi"/>
          <w:snapToGrid w:val="0"/>
          <w:sz w:val="20"/>
          <w:szCs w:val="20"/>
          <w:lang w:val="fr-FR"/>
        </w:rPr>
        <w:t>Budget Fixe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 (</w:t>
      </w:r>
      <w:r>
        <w:rPr>
          <w:rFonts w:asciiTheme="majorBidi" w:hAnsiTheme="majorBidi" w:cstheme="majorBidi"/>
          <w:snapToGrid w:val="0"/>
          <w:sz w:val="20"/>
          <w:szCs w:val="20"/>
          <w:lang w:val="fr-FR"/>
        </w:rPr>
        <w:t>SBF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)</w:t>
      </w:r>
    </w:p>
    <w:p w:rsidR="00CE6431" w:rsidRPr="00D41722" w:rsidRDefault="00CE6431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napToGrid w:val="0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S</w:t>
      </w:r>
      <w:r w:rsidR="005E00A4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é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lection </w:t>
      </w:r>
      <w:r w:rsidR="00867923">
        <w:rPr>
          <w:rFonts w:asciiTheme="majorBidi" w:hAnsiTheme="majorBidi" w:cstheme="majorBidi"/>
          <w:snapToGrid w:val="0"/>
          <w:sz w:val="20"/>
          <w:szCs w:val="20"/>
          <w:lang w:val="fr-FR"/>
        </w:rPr>
        <w:t>bas</w:t>
      </w:r>
      <w:r w:rsidR="005E00A4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ée sur la Qualification des Consultants </w:t>
      </w:r>
      <w:r w:rsidR="00867923">
        <w:rPr>
          <w:rFonts w:asciiTheme="majorBidi" w:hAnsiTheme="majorBidi" w:cstheme="majorBidi"/>
          <w:snapToGrid w:val="0"/>
          <w:sz w:val="20"/>
          <w:szCs w:val="20"/>
          <w:lang w:val="fr-FR"/>
        </w:rPr>
        <w:t>(S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Q</w:t>
      </w:r>
      <w:r w:rsidR="005E00A4">
        <w:rPr>
          <w:rFonts w:asciiTheme="majorBidi" w:hAnsiTheme="majorBidi" w:cstheme="majorBidi"/>
          <w:snapToGrid w:val="0"/>
          <w:sz w:val="20"/>
          <w:szCs w:val="20"/>
          <w:lang w:val="fr-FR"/>
        </w:rPr>
        <w:t>C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)</w:t>
      </w:r>
    </w:p>
    <w:p w:rsidR="00CE6431" w:rsidRPr="00D41722" w:rsidRDefault="005E00A4" w:rsidP="00CE643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napToGrid w:val="0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Gré-à-gré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/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Entente 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Direct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e</w:t>
      </w:r>
      <w:r w:rsidR="00CE6431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 </w:t>
      </w:r>
    </w:p>
    <w:p w:rsidR="00CE6431" w:rsidRPr="00D41722" w:rsidRDefault="00CE6431" w:rsidP="00CE6431">
      <w:pPr>
        <w:rPr>
          <w:rFonts w:asciiTheme="majorBidi" w:hAnsiTheme="majorBidi" w:cstheme="majorBidi"/>
          <w:snapToGrid w:val="0"/>
          <w:sz w:val="20"/>
          <w:szCs w:val="20"/>
          <w:lang w:val="fr-FR"/>
        </w:rPr>
      </w:pPr>
      <w:r w:rsidRPr="00D41722">
        <w:rPr>
          <w:rFonts w:asciiTheme="majorBidi" w:hAnsiTheme="majorBidi" w:cstheme="majorBidi"/>
          <w:snapToGrid w:val="0"/>
          <w:sz w:val="20"/>
          <w:szCs w:val="20"/>
          <w:vertAlign w:val="superscript"/>
          <w:lang w:val="fr-FR"/>
        </w:rPr>
        <w:t>**</w:t>
      </w:r>
      <w:r w:rsidR="005E00A4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Pour tous les</w:t>
      </w:r>
      <w:r w:rsidR="005E00A4" w:rsidRPr="005E00A4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 dossiers, la revue par la BID </w:t>
      </w:r>
      <w:r w:rsidR="005E00A4"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de la méthode de passation </w:t>
      </w:r>
      <w:r w:rsidR="005E00A4" w:rsidRPr="005E00A4">
        <w:rPr>
          <w:rFonts w:asciiTheme="majorBidi" w:hAnsiTheme="majorBidi" w:cstheme="majorBidi"/>
          <w:snapToGrid w:val="0"/>
          <w:sz w:val="20"/>
          <w:szCs w:val="20"/>
          <w:lang w:val="fr-FR"/>
        </w:rPr>
        <w:t xml:space="preserve">sera </w:t>
      </w:r>
      <w:r w:rsidR="005E00A4">
        <w:rPr>
          <w:rFonts w:asciiTheme="majorBidi" w:hAnsiTheme="majorBidi" w:cstheme="majorBidi"/>
          <w:snapToGrid w:val="0"/>
          <w:sz w:val="20"/>
          <w:szCs w:val="20"/>
          <w:lang w:val="fr-FR"/>
        </w:rPr>
        <w:t>réalisée par la BID en conformité avec les directives de passation de marchés de la BID</w:t>
      </w:r>
      <w:r w:rsidRPr="00D41722">
        <w:rPr>
          <w:rFonts w:asciiTheme="majorBidi" w:hAnsiTheme="majorBidi" w:cstheme="majorBidi"/>
          <w:snapToGrid w:val="0"/>
          <w:sz w:val="20"/>
          <w:szCs w:val="20"/>
          <w:lang w:val="fr-FR"/>
        </w:rPr>
        <w:t>.</w:t>
      </w:r>
    </w:p>
    <w:p w:rsidR="000E0573" w:rsidRPr="00D41722" w:rsidRDefault="000E0573" w:rsidP="000E0573">
      <w:pPr>
        <w:rPr>
          <w:rFonts w:asciiTheme="majorBidi" w:hAnsiTheme="majorBidi" w:cstheme="majorBidi"/>
          <w:sz w:val="20"/>
          <w:szCs w:val="20"/>
          <w:lang w:val="fr-FR"/>
        </w:rPr>
      </w:pPr>
    </w:p>
    <w:tbl>
      <w:tblPr>
        <w:tblW w:w="500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0E0573" w:rsidRPr="00752AB7" w:rsidTr="000E0573">
        <w:trPr>
          <w:trHeight w:val="360"/>
          <w:tblCellSpacing w:w="20" w:type="dxa"/>
        </w:trPr>
        <w:tc>
          <w:tcPr>
            <w:tcW w:w="4959" w:type="pct"/>
            <w:shd w:val="clear" w:color="auto" w:fill="E6E6E6"/>
            <w:vAlign w:val="center"/>
          </w:tcPr>
          <w:p w:rsidR="000E0573" w:rsidRPr="00D41722" w:rsidRDefault="000E0573" w:rsidP="005E00A4">
            <w:pPr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</w:pP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Justification </w:t>
            </w:r>
            <w:r w:rsidR="005E00A4"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détaillée du choix du 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Mode </w:t>
            </w:r>
            <w:r w:rsidR="005E00A4"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de Passation de Marché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&amp; </w:t>
            </w:r>
            <w:r w:rsidR="005E00A4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de la 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M</w:t>
            </w:r>
            <w:r w:rsidR="005E00A4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é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thod</w:t>
            </w:r>
            <w:r w:rsidR="005E00A4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e</w:t>
            </w:r>
            <w:r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</w:t>
            </w:r>
            <w:r w:rsidR="005E00A4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de</w:t>
            </w:r>
            <w:r w:rsidR="005E00A4" w:rsidRPr="00D41722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 xml:space="preserve"> </w:t>
            </w:r>
            <w:r w:rsidR="005E00A4" w:rsidRPr="005E00A4">
              <w:rPr>
                <w:rFonts w:asciiTheme="majorBidi" w:hAnsiTheme="majorBidi" w:cstheme="majorBidi"/>
                <w:b/>
                <w:sz w:val="20"/>
                <w:szCs w:val="20"/>
                <w:lang w:val="fr-FR"/>
              </w:rPr>
              <w:t>Sélection</w:t>
            </w:r>
          </w:p>
        </w:tc>
      </w:tr>
      <w:tr w:rsidR="000E0573" w:rsidRPr="00752AB7" w:rsidTr="000E0573">
        <w:trPr>
          <w:trHeight w:val="485"/>
          <w:tblCellSpacing w:w="20" w:type="dxa"/>
        </w:trPr>
        <w:tc>
          <w:tcPr>
            <w:tcW w:w="4959" w:type="pct"/>
            <w:shd w:val="clear" w:color="auto" w:fill="auto"/>
          </w:tcPr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0E0573" w:rsidRPr="00D41722" w:rsidRDefault="000E0573" w:rsidP="00427172">
            <w:pPr>
              <w:spacing w:before="40" w:after="40"/>
              <w:jc w:val="both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E43A9F" w:rsidRPr="00D41722" w:rsidRDefault="00E43A9F">
      <w:pPr>
        <w:rPr>
          <w:rFonts w:asciiTheme="majorBidi" w:hAnsiTheme="majorBidi" w:cstheme="majorBidi"/>
          <w:sz w:val="20"/>
          <w:szCs w:val="20"/>
          <w:lang w:val="fr-FR"/>
        </w:rPr>
      </w:pPr>
    </w:p>
    <w:sectPr w:rsidR="00E43A9F" w:rsidRPr="00D41722" w:rsidSect="00564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92901"/>
    <w:multiLevelType w:val="hybridMultilevel"/>
    <w:tmpl w:val="77E0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5269"/>
    <w:multiLevelType w:val="hybridMultilevel"/>
    <w:tmpl w:val="A77260F4"/>
    <w:lvl w:ilvl="0" w:tplc="1DC2F752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55"/>
    <w:rsid w:val="000E0573"/>
    <w:rsid w:val="001421F4"/>
    <w:rsid w:val="0016700A"/>
    <w:rsid w:val="00194A4D"/>
    <w:rsid w:val="00225BCD"/>
    <w:rsid w:val="00286467"/>
    <w:rsid w:val="00377E82"/>
    <w:rsid w:val="00397B35"/>
    <w:rsid w:val="004A701C"/>
    <w:rsid w:val="00554721"/>
    <w:rsid w:val="005649EE"/>
    <w:rsid w:val="005D4F51"/>
    <w:rsid w:val="005E00A4"/>
    <w:rsid w:val="00664DF3"/>
    <w:rsid w:val="006768BB"/>
    <w:rsid w:val="0070114D"/>
    <w:rsid w:val="00723155"/>
    <w:rsid w:val="00752AB7"/>
    <w:rsid w:val="008358A1"/>
    <w:rsid w:val="00867923"/>
    <w:rsid w:val="009B5CA0"/>
    <w:rsid w:val="009E0C5E"/>
    <w:rsid w:val="009F5388"/>
    <w:rsid w:val="00A76B6F"/>
    <w:rsid w:val="00A959EE"/>
    <w:rsid w:val="00AE506E"/>
    <w:rsid w:val="00CE6431"/>
    <w:rsid w:val="00D41722"/>
    <w:rsid w:val="00DB317D"/>
    <w:rsid w:val="00E0571E"/>
    <w:rsid w:val="00E320E5"/>
    <w:rsid w:val="00E43A9F"/>
    <w:rsid w:val="00E90C73"/>
    <w:rsid w:val="00EB5F79"/>
    <w:rsid w:val="00EF3756"/>
    <w:rsid w:val="00F15B57"/>
    <w:rsid w:val="00FC49F2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64FEE-5056-4904-94EA-F5A13E7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55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rsid w:val="00FE4A55"/>
    <w:pPr>
      <w:spacing w:after="0" w:line="240" w:lineRule="auto"/>
      <w:ind w:right="173"/>
    </w:pPr>
    <w:rPr>
      <w:rFonts w:ascii="Times New Roman" w:hAnsi="Times New Roman" w:cs="Tahoma"/>
      <w:snapToGrid w:val="0"/>
      <w:sz w:val="20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FE4A55"/>
    <w:pPr>
      <w:spacing w:before="120" w:after="120"/>
    </w:pPr>
    <w:rPr>
      <w:rFonts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E6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5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983453</dc:creator>
  <cp:lastModifiedBy>Elhadj Malick Soumare</cp:lastModifiedBy>
  <cp:revision>2</cp:revision>
  <cp:lastPrinted>2011-05-10T11:10:00Z</cp:lastPrinted>
  <dcterms:created xsi:type="dcterms:W3CDTF">2015-05-13T08:56:00Z</dcterms:created>
  <dcterms:modified xsi:type="dcterms:W3CDTF">2015-05-13T08:56:00Z</dcterms:modified>
</cp:coreProperties>
</file>